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78DB6">
      <w:pPr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定远县花园湖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小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学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课程实施方案</w:t>
      </w:r>
    </w:p>
    <w:p w14:paraId="406A4388">
      <w:pPr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 w14:paraId="6CD3EB7A">
      <w:pPr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引言：</w:t>
      </w:r>
    </w:p>
    <w:p w14:paraId="0F63DFD4"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为了全面贯彻党的教育方针，落实立德树人根本任务，进一步厘清学校教育理念、优化课程结构，满足学生多元化发展需求，南京市新浦实验小学教育集团定远分校（定远县花园湖小学）依据国家《义务教育课程方案》（ 2022年版）和安徽省义务教育课程实施办法</w:t>
      </w:r>
      <w:r>
        <w:rPr>
          <w:rFonts w:hint="eastAsia" w:ascii="仿宋" w:hAnsi="仿宋" w:eastAsia="仿宋" w:cs="仿宋"/>
          <w:sz w:val="32"/>
          <w:szCs w:val="32"/>
        </w:rPr>
        <w:t>及各学科课程标准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立足本校办学理念和资源条件，促进国家课程有效实施，科学开发校本课程，更好满足学生全面发展和终身学习需要，特制定本课程实施方案。</w:t>
      </w:r>
    </w:p>
    <w:p w14:paraId="42F0094A">
      <w:pPr>
        <w:numPr>
          <w:ilvl w:val="0"/>
          <w:numId w:val="1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背景与依据</w:t>
      </w:r>
    </w:p>
    <w:p w14:paraId="1A9E35E7">
      <w:pPr>
        <w:numPr>
          <w:ilvl w:val="0"/>
          <w:numId w:val="2"/>
        </w:numPr>
        <w:ind w:left="-140" w:leftChars="0" w:firstLine="560" w:firstLineChars="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学校基本情况与办学传统</w:t>
      </w:r>
    </w:p>
    <w:p w14:paraId="7CC13E03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1.学校背景</w:t>
      </w:r>
    </w:p>
    <w:p w14:paraId="7481552B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南京市浦口区新浦实验小学教育集团定远分校</w:t>
      </w:r>
      <w:r>
        <w:rPr>
          <w:rFonts w:hint="eastAsia" w:ascii="仿宋" w:hAnsi="仿宋" w:eastAsia="仿宋" w:cs="仿宋"/>
          <w:sz w:val="32"/>
          <w:szCs w:val="32"/>
        </w:rPr>
        <w:t>位于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定远县</w:t>
      </w:r>
      <w:r>
        <w:rPr>
          <w:rFonts w:hint="eastAsia" w:ascii="仿宋" w:hAnsi="仿宋" w:eastAsia="仿宋" w:cs="仿宋"/>
          <w:sz w:val="32"/>
          <w:szCs w:val="32"/>
        </w:rPr>
        <w:t>定城镇花园湖公园北侧，始建于2009年，附属一所公办幼儿园。</w:t>
      </w:r>
      <w:r>
        <w:rPr>
          <w:rFonts w:hint="eastAsia" w:ascii="仿宋" w:hAnsi="仿宋" w:eastAsia="仿宋" w:cs="仿宋"/>
          <w:kern w:val="0"/>
          <w:sz w:val="32"/>
          <w:szCs w:val="32"/>
        </w:rPr>
        <w:t>现有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43</w:t>
      </w:r>
      <w:r>
        <w:rPr>
          <w:rFonts w:hint="eastAsia" w:ascii="仿宋" w:hAnsi="仿宋" w:eastAsia="仿宋" w:cs="仿宋"/>
          <w:kern w:val="0"/>
          <w:sz w:val="32"/>
          <w:szCs w:val="32"/>
        </w:rPr>
        <w:t>个教学班，其中小学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部36</w:t>
      </w:r>
      <w:r>
        <w:rPr>
          <w:rFonts w:hint="eastAsia" w:ascii="仿宋" w:hAnsi="仿宋" w:eastAsia="仿宋" w:cs="仿宋"/>
          <w:kern w:val="0"/>
          <w:sz w:val="32"/>
          <w:szCs w:val="32"/>
        </w:rPr>
        <w:t>个班，幼儿园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kern w:val="0"/>
          <w:sz w:val="32"/>
          <w:szCs w:val="32"/>
        </w:rPr>
        <w:t>个班；在校学生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1672</w:t>
      </w:r>
      <w:r>
        <w:rPr>
          <w:rFonts w:hint="eastAsia" w:ascii="仿宋" w:hAnsi="仿宋" w:eastAsia="仿宋" w:cs="仿宋"/>
          <w:kern w:val="0"/>
          <w:sz w:val="32"/>
          <w:szCs w:val="32"/>
        </w:rPr>
        <w:t>人，</w:t>
      </w:r>
      <w:r>
        <w:rPr>
          <w:rFonts w:hint="eastAsia" w:ascii="仿宋" w:hAnsi="仿宋" w:eastAsia="仿宋" w:cs="仿宋"/>
          <w:sz w:val="32"/>
          <w:szCs w:val="32"/>
        </w:rPr>
        <w:t>学校占地面积35845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㎡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kern w:val="0"/>
          <w:sz w:val="32"/>
          <w:szCs w:val="32"/>
        </w:rPr>
        <w:t>校舍建筑面积8875㎡，体育活动场所10200㎡，包括标准7人制足球场一个、标准28m乘15m篮球场两个；绿化用地5000㎡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</w:rPr>
        <w:t>。学校</w:t>
      </w:r>
      <w:r>
        <w:rPr>
          <w:rFonts w:hint="eastAsia" w:ascii="仿宋" w:hAnsi="仿宋" w:eastAsia="仿宋" w:cs="仿宋"/>
          <w:kern w:val="0"/>
          <w:sz w:val="32"/>
          <w:szCs w:val="32"/>
        </w:rPr>
        <w:t>现有教职工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120</w:t>
      </w:r>
      <w:r>
        <w:rPr>
          <w:rFonts w:hint="eastAsia" w:ascii="仿宋" w:hAnsi="仿宋" w:eastAsia="仿宋" w:cs="仿宋"/>
          <w:kern w:val="0"/>
          <w:sz w:val="32"/>
          <w:szCs w:val="32"/>
        </w:rPr>
        <w:t>人，高级教师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 w:cs="仿宋"/>
          <w:kern w:val="0"/>
          <w:sz w:val="32"/>
          <w:szCs w:val="32"/>
        </w:rPr>
        <w:t>人，一级教师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79</w:t>
      </w:r>
      <w:r>
        <w:rPr>
          <w:rFonts w:hint="eastAsia" w:ascii="仿宋" w:hAnsi="仿宋" w:eastAsia="仿宋" w:cs="仿宋"/>
          <w:kern w:val="0"/>
          <w:sz w:val="32"/>
          <w:szCs w:val="32"/>
        </w:rPr>
        <w:t>人，二级教师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31</w:t>
      </w:r>
      <w:r>
        <w:rPr>
          <w:rFonts w:hint="eastAsia" w:ascii="仿宋" w:hAnsi="仿宋" w:eastAsia="仿宋" w:cs="仿宋"/>
          <w:kern w:val="0"/>
          <w:sz w:val="32"/>
          <w:szCs w:val="32"/>
        </w:rPr>
        <w:t>人,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其中，小学部教师平均年龄44岁左右，学校有滁州市</w:t>
      </w:r>
      <w:r>
        <w:rPr>
          <w:rFonts w:hint="eastAsia" w:ascii="仿宋" w:hAnsi="仿宋" w:eastAsia="仿宋" w:cs="仿宋"/>
          <w:kern w:val="0"/>
          <w:sz w:val="32"/>
          <w:szCs w:val="32"/>
        </w:rPr>
        <w:t>“名校长”1人,市“骨干教师”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32"/>
          <w:szCs w:val="32"/>
        </w:rPr>
        <w:t>人，市级模范教师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kern w:val="0"/>
          <w:sz w:val="32"/>
          <w:szCs w:val="32"/>
        </w:rPr>
        <w:t>人、市教坛新星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kern w:val="0"/>
          <w:sz w:val="32"/>
          <w:szCs w:val="32"/>
        </w:rPr>
        <w:t>人，县级教坛新星28人。</w:t>
      </w:r>
      <w:bookmarkStart w:id="0" w:name="_Hlk172306691"/>
      <w:bookmarkEnd w:id="0"/>
      <w:bookmarkStart w:id="1" w:name="_Hlk172307312"/>
      <w:bookmarkEnd w:id="1"/>
    </w:p>
    <w:p w14:paraId="6D2E37F4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kern w:val="0"/>
          <w:sz w:val="32"/>
          <w:szCs w:val="32"/>
        </w:rPr>
        <w:t>学生生长空间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及</w:t>
      </w:r>
      <w:r>
        <w:rPr>
          <w:rFonts w:hint="eastAsia" w:ascii="仿宋" w:hAnsi="仿宋" w:eastAsia="仿宋" w:cs="仿宋"/>
          <w:kern w:val="0"/>
          <w:sz w:val="32"/>
          <w:szCs w:val="32"/>
        </w:rPr>
        <w:t>课程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建设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基础 </w:t>
      </w:r>
    </w:p>
    <w:p w14:paraId="1DF0199E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在小学阶段，学生的生长空间极为广阔。他们思维活跃、好奇心强，具有很强的可塑性，乐于在探索、实践与互动中学习成长，这为多元课程开展提供了天然土壤。</w:t>
      </w:r>
    </w:p>
    <w:p w14:paraId="2BC80200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学校</w:t>
      </w:r>
      <w:r>
        <w:rPr>
          <w:rFonts w:hint="eastAsia" w:ascii="仿宋" w:hAnsi="仿宋" w:eastAsia="仿宋" w:cs="仿宋"/>
          <w:kern w:val="0"/>
          <w:sz w:val="32"/>
          <w:szCs w:val="32"/>
        </w:rPr>
        <w:t>课程建设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存在的优势。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办学条件扎实：</w:t>
      </w:r>
      <w:r>
        <w:rPr>
          <w:rFonts w:hint="eastAsia" w:ascii="仿宋" w:hAnsi="仿宋" w:eastAsia="仿宋" w:cs="仿宋"/>
          <w:kern w:val="0"/>
          <w:sz w:val="32"/>
          <w:szCs w:val="32"/>
        </w:rPr>
        <w:t>作为南京市新浦实验小学教育集团分校，拥有 35845㎡占地面积、标准化运动场地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kern w:val="0"/>
          <w:sz w:val="32"/>
          <w:szCs w:val="32"/>
        </w:rPr>
        <w:t>配备了实验室、图书馆等教学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功能</w:t>
      </w:r>
      <w:r>
        <w:rPr>
          <w:rFonts w:hint="eastAsia" w:ascii="仿宋" w:hAnsi="仿宋" w:eastAsia="仿宋" w:cs="仿宋"/>
          <w:kern w:val="0"/>
          <w:sz w:val="32"/>
          <w:szCs w:val="32"/>
        </w:rPr>
        <w:t>设施，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有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120 人师资队伍（含市级骨干教师 2 人、县级教坛新星 28 人），为课程实施提供了有力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硬件</w:t>
      </w:r>
      <w:r>
        <w:rPr>
          <w:rFonts w:hint="eastAsia" w:ascii="仿宋" w:hAnsi="仿宋" w:eastAsia="仿宋" w:cs="仿宋"/>
          <w:kern w:val="0"/>
          <w:sz w:val="32"/>
          <w:szCs w:val="32"/>
        </w:rPr>
        <w:t>支撑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课程基础深厚：</w:t>
      </w:r>
      <w:r>
        <w:rPr>
          <w:rFonts w:hint="eastAsia" w:ascii="仿宋" w:hAnsi="仿宋" w:eastAsia="仿宋" w:cs="仿宋"/>
          <w:kern w:val="0"/>
          <w:sz w:val="32"/>
          <w:szCs w:val="32"/>
        </w:rPr>
        <w:t>已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基本</w:t>
      </w:r>
      <w:r>
        <w:rPr>
          <w:rFonts w:hint="eastAsia" w:ascii="仿宋" w:hAnsi="仿宋" w:eastAsia="仿宋" w:cs="仿宋"/>
          <w:kern w:val="0"/>
          <w:sz w:val="32"/>
          <w:szCs w:val="32"/>
        </w:rPr>
        <w:t>构建 “善智课程” 体系，国家课程落实到位，校本课程涵盖学科拓展、社团活动等，形成 “崇基课程 + 拓展课程 + 特色社团” 的三阶结构，贴合学生成长需求。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家校社协同密切：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学校</w:t>
      </w:r>
      <w:r>
        <w:rPr>
          <w:rFonts w:hint="eastAsia" w:ascii="仿宋" w:hAnsi="仿宋" w:eastAsia="仿宋" w:cs="仿宋"/>
          <w:kern w:val="0"/>
          <w:sz w:val="32"/>
          <w:szCs w:val="32"/>
        </w:rPr>
        <w:t>与社区、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博物</w:t>
      </w:r>
      <w:r>
        <w:rPr>
          <w:rFonts w:hint="eastAsia" w:ascii="仿宋" w:hAnsi="仿宋" w:eastAsia="仿宋" w:cs="仿宋"/>
          <w:kern w:val="0"/>
          <w:sz w:val="32"/>
          <w:szCs w:val="32"/>
        </w:rPr>
        <w:t>馆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科技馆</w:t>
      </w:r>
      <w:r>
        <w:rPr>
          <w:rFonts w:hint="eastAsia" w:ascii="仿宋" w:hAnsi="仿宋" w:eastAsia="仿宋" w:cs="仿宋"/>
          <w:kern w:val="0"/>
          <w:sz w:val="32"/>
          <w:szCs w:val="32"/>
        </w:rPr>
        <w:t>等建立合作，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同时</w:t>
      </w:r>
      <w:r>
        <w:rPr>
          <w:rFonts w:hint="eastAsia" w:ascii="仿宋" w:hAnsi="仿宋" w:eastAsia="仿宋" w:cs="仿宋"/>
          <w:kern w:val="0"/>
          <w:sz w:val="32"/>
          <w:szCs w:val="32"/>
        </w:rPr>
        <w:t>通过问卷调查、家长座谈等方式精准捕捉需求，实现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多方</w:t>
      </w:r>
      <w:r>
        <w:rPr>
          <w:rFonts w:hint="eastAsia" w:ascii="仿宋" w:hAnsi="仿宋" w:eastAsia="仿宋" w:cs="仿宋"/>
          <w:kern w:val="0"/>
          <w:sz w:val="32"/>
          <w:szCs w:val="32"/>
        </w:rPr>
        <w:t>资源整合。为课程实施提供了有力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条件。</w:t>
      </w:r>
    </w:p>
    <w:p w14:paraId="3CE447EF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课程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建设</w:t>
      </w:r>
      <w:r>
        <w:rPr>
          <w:rFonts w:hint="eastAsia" w:ascii="仿宋" w:hAnsi="仿宋" w:eastAsia="仿宋" w:cs="仿宋"/>
          <w:kern w:val="0"/>
          <w:sz w:val="32"/>
          <w:szCs w:val="32"/>
        </w:rPr>
        <w:t>基础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kern w:val="0"/>
          <w:sz w:val="32"/>
          <w:szCs w:val="32"/>
        </w:rPr>
        <w:t>不足与挑战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师资结构待优化</w:t>
      </w:r>
      <w:r>
        <w:rPr>
          <w:rFonts w:hint="eastAsia" w:ascii="仿宋" w:hAnsi="仿宋" w:eastAsia="仿宋" w:cs="仿宋"/>
          <w:kern w:val="0"/>
          <w:sz w:val="32"/>
          <w:szCs w:val="32"/>
        </w:rPr>
        <w:t>：小学部教师平均年龄 44 岁，年轻教师占比低，可能影响创新课程（如编程、科创）的推进效率。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校本课程承载力有限：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现有 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36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个教学班，部分热门社团（如剪纸、足球）报名人数过多，场地与师资分配存在压力。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评价体系量化不足：</w:t>
      </w:r>
      <w:r>
        <w:rPr>
          <w:rFonts w:hint="eastAsia" w:ascii="仿宋" w:hAnsi="仿宋" w:eastAsia="仿宋" w:cs="仿宋"/>
          <w:kern w:val="0"/>
          <w:sz w:val="32"/>
          <w:szCs w:val="32"/>
        </w:rPr>
        <w:t>“善智少年” 评选标准偏重定性描述，缺乏具体量化指标，导致评价主观性。</w:t>
      </w:r>
    </w:p>
    <w:p w14:paraId="58A38F0E">
      <w:pPr>
        <w:numPr>
          <w:ilvl w:val="0"/>
          <w:numId w:val="2"/>
        </w:numPr>
        <w:ind w:left="-140" w:leftChars="0" w:firstLine="560" w:firstLineChars="0"/>
        <w:jc w:val="both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学生与社区课程需求</w:t>
      </w:r>
    </w:p>
    <w:p w14:paraId="6604619E">
      <w:pPr>
        <w:numPr>
          <w:ilvl w:val="0"/>
          <w:numId w:val="0"/>
        </w:numPr>
        <w:ind w:left="0" w:leftChars="0"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通过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学生</w:t>
      </w:r>
      <w:r>
        <w:rPr>
          <w:rFonts w:hint="eastAsia" w:ascii="仿宋" w:hAnsi="仿宋" w:eastAsia="仿宋" w:cs="仿宋"/>
          <w:kern w:val="0"/>
          <w:sz w:val="32"/>
          <w:szCs w:val="32"/>
        </w:rPr>
        <w:t>问卷调查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和家长座谈交流</w:t>
      </w:r>
      <w:r>
        <w:rPr>
          <w:rFonts w:hint="eastAsia" w:ascii="仿宋" w:hAnsi="仿宋" w:eastAsia="仿宋" w:cs="仿宋"/>
          <w:kern w:val="0"/>
          <w:sz w:val="32"/>
          <w:szCs w:val="32"/>
        </w:rPr>
        <w:t>，结合学校资源，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我们</w:t>
      </w:r>
      <w:r>
        <w:rPr>
          <w:rFonts w:hint="eastAsia" w:ascii="仿宋" w:hAnsi="仿宋" w:eastAsia="仿宋" w:cs="仿宋"/>
          <w:kern w:val="0"/>
          <w:sz w:val="32"/>
          <w:szCs w:val="32"/>
        </w:rPr>
        <w:t>收集整理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了</w:t>
      </w:r>
      <w:r>
        <w:rPr>
          <w:rFonts w:hint="eastAsia" w:ascii="仿宋" w:hAnsi="仿宋" w:eastAsia="仿宋" w:cs="仿宋"/>
          <w:kern w:val="0"/>
          <w:sz w:val="32"/>
          <w:szCs w:val="32"/>
        </w:rPr>
        <w:t>学生、家长及社区需求数据，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来</w:t>
      </w:r>
      <w:r>
        <w:rPr>
          <w:rFonts w:hint="eastAsia" w:ascii="仿宋" w:hAnsi="仿宋" w:eastAsia="仿宋" w:cs="仿宋"/>
          <w:kern w:val="0"/>
          <w:sz w:val="32"/>
          <w:szCs w:val="32"/>
        </w:rPr>
        <w:t>设计规划学校课程方向。</w:t>
      </w:r>
    </w:p>
    <w:p w14:paraId="15DE48AF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1.学生课程需求。</w:t>
      </w:r>
      <w:r>
        <w:rPr>
          <w:rFonts w:hint="eastAsia" w:ascii="仿宋" w:hAnsi="仿宋" w:eastAsia="仿宋" w:cs="仿宋"/>
          <w:kern w:val="0"/>
          <w:sz w:val="32"/>
          <w:szCs w:val="32"/>
        </w:rPr>
        <w:t>兴趣拓展类：艺术（绘画/音乐/舞蹈）、科技（编程/机器人）、体育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类</w:t>
      </w:r>
      <w:r>
        <w:rPr>
          <w:rFonts w:hint="eastAsia" w:ascii="仿宋" w:hAnsi="仿宋" w:eastAsia="仿宋" w:cs="仿宋"/>
          <w:kern w:val="0"/>
          <w:sz w:val="32"/>
          <w:szCs w:val="32"/>
        </w:rPr>
        <w:t>。能力提升类：学习方法指导、心理辅导、社会实践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劳动技能等</w:t>
      </w:r>
      <w:r>
        <w:rPr>
          <w:rFonts w:hint="eastAsia" w:ascii="仿宋" w:hAnsi="仿宋" w:eastAsia="仿宋" w:cs="仿宋"/>
          <w:kern w:val="0"/>
          <w:sz w:val="32"/>
          <w:szCs w:val="32"/>
        </w:rPr>
        <w:t>。学科延伸类：学科拓展课程（如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语文经典阅读、</w:t>
      </w:r>
      <w:r>
        <w:rPr>
          <w:rFonts w:hint="eastAsia" w:ascii="仿宋" w:hAnsi="仿宋" w:eastAsia="仿宋" w:cs="仿宋"/>
          <w:kern w:val="0"/>
          <w:sz w:val="32"/>
          <w:szCs w:val="32"/>
        </w:rPr>
        <w:t>数学思维、英语绘本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等</w:t>
      </w:r>
      <w:r>
        <w:rPr>
          <w:rFonts w:hint="eastAsia" w:ascii="仿宋" w:hAnsi="仿宋" w:eastAsia="仿宋" w:cs="仿宋"/>
          <w:kern w:val="0"/>
          <w:sz w:val="32"/>
          <w:szCs w:val="32"/>
        </w:rPr>
        <w:t>）。</w:t>
      </w:r>
    </w:p>
    <w:p w14:paraId="505429A8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kern w:val="0"/>
          <w:sz w:val="32"/>
          <w:szCs w:val="32"/>
        </w:rPr>
        <w:t>家长及社区课程需求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kern w:val="0"/>
          <w:sz w:val="32"/>
          <w:szCs w:val="32"/>
        </w:rPr>
        <w:t>家庭教育类：亲子沟通、儿童心理、学习习惯培养。社区服务类：老年智能设备教学、健康养生讲座、文化活动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。</w:t>
      </w:r>
    </w:p>
    <w:p w14:paraId="5729511E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（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kern w:val="0"/>
          <w:sz w:val="32"/>
          <w:szCs w:val="32"/>
        </w:rPr>
        <w:t>）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学校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办学理念</w:t>
      </w:r>
    </w:p>
    <w:p w14:paraId="5CC7341B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1.培养目标</w:t>
      </w:r>
    </w:p>
    <w:p w14:paraId="0C509A8D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培养具有坚定理想信念、强烈爱国情怀、高尚品德修养、广博知识见识和奋斗精神，使学生成为有理想、有本领、有担当，德、智、体、美、劳全面发展的社会主义建设者和接班人。结合学校特点和善智文化教育，我们提出：</w:t>
      </w:r>
    </w:p>
    <w:p w14:paraId="37346E53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办学理念：“我们每天都在进步”</w:t>
      </w:r>
    </w:p>
    <w:p w14:paraId="77C9AAB6"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培养目标：培养向善、智慧的新时代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善智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少年。</w:t>
      </w:r>
    </w:p>
    <w:p w14:paraId="20F9A2D7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2.培养原则 </w:t>
      </w:r>
    </w:p>
    <w:p w14:paraId="5D54A2EF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（1）坚持全面发展，育人为本。</w:t>
      </w:r>
    </w:p>
    <w:p w14:paraId="0DC7A528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（2）面向全体学生，因材施教。</w:t>
      </w:r>
    </w:p>
    <w:p w14:paraId="527002D7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（3）聚焦核心素养，面向未来。</w:t>
      </w:r>
    </w:p>
    <w:p w14:paraId="7D2E33E0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（4）加强课程综合，注重关联。</w:t>
      </w:r>
    </w:p>
    <w:p w14:paraId="5D582760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（5）变革育人方式，突出实践。</w:t>
      </w:r>
    </w:p>
    <w:p w14:paraId="0C8A342D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3.“三风一训”</w:t>
      </w:r>
    </w:p>
    <w:p w14:paraId="2217D41F">
      <w:pPr>
        <w:numPr>
          <w:ilvl w:val="0"/>
          <w:numId w:val="0"/>
        </w:numPr>
        <w:ind w:firstLine="640" w:firstLineChars="200"/>
        <w:jc w:val="both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校训：善 智</w:t>
      </w:r>
    </w:p>
    <w:p w14:paraId="32C6F6AA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校风：宁静致远、止于至善。</w:t>
      </w:r>
    </w:p>
    <w:p w14:paraId="4397EF45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教风：润物无声、育人有爱。</w:t>
      </w:r>
    </w:p>
    <w:p w14:paraId="7BA9E755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学风：水滴石穿、通而生慧。</w:t>
      </w:r>
    </w:p>
    <w:p w14:paraId="5387133F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以“善智”为校训，引导“善学”、学会“善思”、不断“善行”，用品德影响学生心灵、用智慧启迪学生成长、用“教学相长”作为终身奉献的“志业”，践行“善智”教育，静待花开。</w:t>
      </w:r>
    </w:p>
    <w:p w14:paraId="7E60B18E"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二、学校课程计划及说明</w:t>
      </w:r>
    </w:p>
    <w:p w14:paraId="708D2C1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（一）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学校课程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结构与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框架</w:t>
      </w:r>
    </w:p>
    <w:p w14:paraId="000523B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1.开齐、开足国家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课程。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学校开设道德与法治、语文、数学、英语、科学、体育与健康、艺术、劳动、综合实践活动课程在一至六年级开设。英语、信息科技在三至六年级开设。艺术课程一至二年级包括唱游·音乐、造型·美术；三至六年级以音乐、美术为主，融入舞蹈、戏剧（含戏曲）、影视（含数字媒体艺术）相关内容。综合实践活动侧重跨学科研究性学习、社会实践。一至六年级开设班团队活动。</w:t>
      </w:r>
    </w:p>
    <w:p w14:paraId="667CE127">
      <w:pPr>
        <w:numPr>
          <w:ilvl w:val="0"/>
          <w:numId w:val="0"/>
        </w:numPr>
        <w:ind w:left="0" w:leftChars="0" w:firstLine="580" w:firstLineChars="200"/>
        <w:rPr>
          <w:rFonts w:hint="eastAsia" w:ascii="仿宋" w:hAnsi="仿宋" w:eastAsia="仿宋" w:cs="仿宋"/>
          <w:b w:val="0"/>
          <w:bCs w:val="0"/>
          <w:color w:val="000000" w:themeColor="text1"/>
          <w:spacing w:val="-15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  <w:t>2.合理开发校本课程。根据学生和家长的需求，结合学校课程资源情况，分年级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-15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开设学科拓展类课程、社团课程、节日活动课程等具体开设情况见表3。</w:t>
      </w:r>
    </w:p>
    <w:p w14:paraId="685790D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3.学校课程结构</w:t>
      </w:r>
    </w:p>
    <w:p w14:paraId="63A9CD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依据学校的办学理念、育人目标以及课程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设置情况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，我们设计如下“善智”课程体系：</w:t>
      </w:r>
    </w:p>
    <w:p w14:paraId="0AFF4B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表1：定远县花园湖小学善智课程体系图表</w:t>
      </w:r>
    </w:p>
    <w:p w14:paraId="3E8C04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4788535" cy="5871210"/>
            <wp:effectExtent l="0" t="0" r="12065" b="15240"/>
            <wp:docPr id="1" name="图片 1" descr="微信图片_2025050910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509104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D8F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）学校课程设置</w:t>
      </w:r>
    </w:p>
    <w:p w14:paraId="10CC335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640" w:firstLineChars="20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1.课程设置。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“善智课程”主要分为五个方面，分别是：“向善课程”、“智学课程”、“尚美课程”、“健体课程”、“劳创课程”五大课程。善智课程内容有三个阶梯：崇基课程、拓展课程和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特色社团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课程，崇基课程为国家课程，拓展课程及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社团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课程为校本课程。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具体课程内容如图：</w:t>
      </w:r>
    </w:p>
    <w:p w14:paraId="401F1F10">
      <w:pPr>
        <w:bidi w:val="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</w:p>
    <w:tbl>
      <w:tblPr>
        <w:tblStyle w:val="10"/>
        <w:tblpPr w:leftFromText="180" w:rightFromText="180" w:vertAnchor="page" w:horzAnchor="page" w:tblpX="1792" w:tblpY="6695"/>
        <w:tblW w:w="85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705"/>
        <w:gridCol w:w="1283"/>
        <w:gridCol w:w="1290"/>
        <w:gridCol w:w="1125"/>
        <w:gridCol w:w="1275"/>
        <w:gridCol w:w="1260"/>
        <w:gridCol w:w="787"/>
      </w:tblGrid>
      <w:tr w14:paraId="2BBE6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525" w:type="dxa"/>
            <w:gridSpan w:val="2"/>
            <w:vAlign w:val="center"/>
          </w:tcPr>
          <w:p w14:paraId="0F10FE6A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课程类群</w:t>
            </w:r>
          </w:p>
        </w:tc>
        <w:tc>
          <w:tcPr>
            <w:tcW w:w="1283" w:type="dxa"/>
            <w:vAlign w:val="center"/>
          </w:tcPr>
          <w:p w14:paraId="76DD97F9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FF"/>
                <w:sz w:val="21"/>
                <w:szCs w:val="21"/>
              </w:rPr>
              <w:t>向善课程</w:t>
            </w:r>
          </w:p>
        </w:tc>
        <w:tc>
          <w:tcPr>
            <w:tcW w:w="1290" w:type="dxa"/>
            <w:vAlign w:val="center"/>
          </w:tcPr>
          <w:p w14:paraId="0733E1C6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FF"/>
                <w:sz w:val="21"/>
                <w:szCs w:val="21"/>
              </w:rPr>
              <w:t>智学课程</w:t>
            </w:r>
          </w:p>
        </w:tc>
        <w:tc>
          <w:tcPr>
            <w:tcW w:w="1125" w:type="dxa"/>
            <w:vAlign w:val="center"/>
          </w:tcPr>
          <w:p w14:paraId="000E0D1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FF"/>
                <w:sz w:val="21"/>
                <w:szCs w:val="21"/>
              </w:rPr>
              <w:t>尚美课程</w:t>
            </w:r>
          </w:p>
        </w:tc>
        <w:tc>
          <w:tcPr>
            <w:tcW w:w="1275" w:type="dxa"/>
            <w:vAlign w:val="center"/>
          </w:tcPr>
          <w:p w14:paraId="704E26EA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FF"/>
                <w:sz w:val="21"/>
                <w:szCs w:val="21"/>
              </w:rPr>
              <w:t>健体课程</w:t>
            </w:r>
          </w:p>
        </w:tc>
        <w:tc>
          <w:tcPr>
            <w:tcW w:w="1260" w:type="dxa"/>
            <w:vAlign w:val="center"/>
          </w:tcPr>
          <w:p w14:paraId="1AAA85B8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FF"/>
                <w:sz w:val="21"/>
                <w:szCs w:val="21"/>
              </w:rPr>
              <w:t>劳创课程</w:t>
            </w:r>
          </w:p>
        </w:tc>
        <w:tc>
          <w:tcPr>
            <w:tcW w:w="787" w:type="dxa"/>
          </w:tcPr>
          <w:p w14:paraId="31CDB663"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善智课程</w:t>
            </w:r>
          </w:p>
        </w:tc>
      </w:tr>
      <w:tr w14:paraId="496EA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4" w:hRule="atLeast"/>
        </w:trPr>
        <w:tc>
          <w:tcPr>
            <w:tcW w:w="820" w:type="dxa"/>
            <w:vMerge w:val="restart"/>
            <w:vAlign w:val="center"/>
          </w:tcPr>
          <w:p w14:paraId="280F9566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课程</w:t>
            </w:r>
          </w:p>
          <w:p w14:paraId="07A76CB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内容</w:t>
            </w:r>
          </w:p>
        </w:tc>
        <w:tc>
          <w:tcPr>
            <w:tcW w:w="705" w:type="dxa"/>
            <w:vAlign w:val="center"/>
          </w:tcPr>
          <w:p w14:paraId="1C6B6862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崇基</w:t>
            </w:r>
          </w:p>
          <w:p w14:paraId="2A725F62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课程</w:t>
            </w:r>
          </w:p>
        </w:tc>
        <w:tc>
          <w:tcPr>
            <w:tcW w:w="1283" w:type="dxa"/>
          </w:tcPr>
          <w:p w14:paraId="201F296B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道德与法治 </w:t>
            </w:r>
          </w:p>
          <w:p w14:paraId="2EED4D51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290" w:type="dxa"/>
          </w:tcPr>
          <w:p w14:paraId="1876E00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语文 </w:t>
            </w:r>
          </w:p>
          <w:p w14:paraId="582EF34A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数学 </w:t>
            </w:r>
          </w:p>
          <w:p w14:paraId="2A96CF75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英语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等</w:t>
            </w:r>
          </w:p>
        </w:tc>
        <w:tc>
          <w:tcPr>
            <w:tcW w:w="1125" w:type="dxa"/>
          </w:tcPr>
          <w:p w14:paraId="09AAA821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美术</w:t>
            </w:r>
          </w:p>
          <w:p w14:paraId="7FC01139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音乐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等</w:t>
            </w:r>
          </w:p>
        </w:tc>
        <w:tc>
          <w:tcPr>
            <w:tcW w:w="1275" w:type="dxa"/>
          </w:tcPr>
          <w:p w14:paraId="36689ABE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体育与健康</w:t>
            </w:r>
          </w:p>
          <w:p w14:paraId="614B8FE0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心理健康教育等</w:t>
            </w:r>
          </w:p>
        </w:tc>
        <w:tc>
          <w:tcPr>
            <w:tcW w:w="1260" w:type="dxa"/>
          </w:tcPr>
          <w:p w14:paraId="11FA831C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科学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劳动</w:t>
            </w:r>
          </w:p>
          <w:p w14:paraId="616BF939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信息技术综合实践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等</w:t>
            </w:r>
          </w:p>
        </w:tc>
        <w:tc>
          <w:tcPr>
            <w:tcW w:w="787" w:type="dxa"/>
            <w:vAlign w:val="center"/>
          </w:tcPr>
          <w:p w14:paraId="0785AB6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国家</w:t>
            </w:r>
          </w:p>
          <w:p w14:paraId="6A3300B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课程</w:t>
            </w:r>
          </w:p>
        </w:tc>
      </w:tr>
      <w:tr w14:paraId="760FF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6" w:hRule="atLeast"/>
        </w:trPr>
        <w:tc>
          <w:tcPr>
            <w:tcW w:w="820" w:type="dxa"/>
            <w:vMerge w:val="continue"/>
          </w:tcPr>
          <w:p w14:paraId="42FD86FB"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05" w:type="dxa"/>
            <w:vAlign w:val="center"/>
          </w:tcPr>
          <w:p w14:paraId="6B39807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拓展</w:t>
            </w:r>
          </w:p>
          <w:p w14:paraId="43A86E2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社团</w:t>
            </w:r>
          </w:p>
          <w:p w14:paraId="42BC548E"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活动</w:t>
            </w:r>
          </w:p>
          <w:p w14:paraId="288656CA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课程</w:t>
            </w:r>
          </w:p>
        </w:tc>
        <w:tc>
          <w:tcPr>
            <w:tcW w:w="1283" w:type="dxa"/>
          </w:tcPr>
          <w:p w14:paraId="269151C6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0378BAFA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礼仪教育</w:t>
            </w:r>
          </w:p>
          <w:p w14:paraId="69547B80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感恩教育</w:t>
            </w:r>
          </w:p>
          <w:p w14:paraId="07B7A3BF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安全教育</w:t>
            </w:r>
          </w:p>
          <w:p w14:paraId="4A8311C6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节庆仪式</w:t>
            </w:r>
          </w:p>
        </w:tc>
        <w:tc>
          <w:tcPr>
            <w:tcW w:w="1290" w:type="dxa"/>
          </w:tcPr>
          <w:p w14:paraId="61F7B8CE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087EA2E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数学绘本</w:t>
            </w:r>
          </w:p>
          <w:p w14:paraId="7B2CFE6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诗韵说唱秀</w:t>
            </w:r>
          </w:p>
          <w:p w14:paraId="34FD077D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玩转图形</w:t>
            </w:r>
          </w:p>
          <w:p w14:paraId="497CB83B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故事趣时光</w:t>
            </w:r>
          </w:p>
          <w:p w14:paraId="318250A6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唱响“英”乐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趣配“英”</w:t>
            </w:r>
          </w:p>
        </w:tc>
        <w:tc>
          <w:tcPr>
            <w:tcW w:w="1125" w:type="dxa"/>
          </w:tcPr>
          <w:p w14:paraId="2A07B4D5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8A1E2E0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琴声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悠扬</w:t>
            </w:r>
          </w:p>
          <w:p w14:paraId="0A163BB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唱游童年</w:t>
            </w:r>
          </w:p>
          <w:p w14:paraId="6E7AD51B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美妙涂鸦</w:t>
            </w:r>
          </w:p>
          <w:p w14:paraId="7150A7F8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275" w:type="dxa"/>
          </w:tcPr>
          <w:p w14:paraId="67FC9BBF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683A7C17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绳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彩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飞扬</w:t>
            </w:r>
          </w:p>
          <w:p w14:paraId="3FE29AD2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玩转篮球</w:t>
            </w:r>
          </w:p>
          <w:p w14:paraId="7F0FC9D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飞舞足球</w:t>
            </w:r>
          </w:p>
          <w:p w14:paraId="169E657A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武术</w:t>
            </w:r>
          </w:p>
          <w:p w14:paraId="0CE1F7ED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羽毛球</w:t>
            </w:r>
          </w:p>
          <w:p w14:paraId="3B6147AE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乒乓球</w:t>
            </w:r>
          </w:p>
        </w:tc>
        <w:tc>
          <w:tcPr>
            <w:tcW w:w="1260" w:type="dxa"/>
          </w:tcPr>
          <w:p w14:paraId="5D268E96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3E603BE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科创实践</w:t>
            </w:r>
          </w:p>
          <w:p w14:paraId="16253537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趣味编程</w:t>
            </w:r>
          </w:p>
          <w:p w14:paraId="0550F29B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传统劳动</w:t>
            </w:r>
          </w:p>
        </w:tc>
        <w:tc>
          <w:tcPr>
            <w:tcW w:w="787" w:type="dxa"/>
            <w:vMerge w:val="restart"/>
            <w:vAlign w:val="center"/>
          </w:tcPr>
          <w:p w14:paraId="52F72E9B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756D1142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校本</w:t>
            </w:r>
          </w:p>
          <w:p w14:paraId="4B5C845F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课程</w:t>
            </w:r>
          </w:p>
        </w:tc>
      </w:tr>
      <w:tr w14:paraId="730CB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820" w:type="dxa"/>
            <w:vMerge w:val="continue"/>
          </w:tcPr>
          <w:p w14:paraId="5EBE9188"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705" w:type="dxa"/>
          </w:tcPr>
          <w:p w14:paraId="745EF303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特色</w:t>
            </w:r>
          </w:p>
          <w:p w14:paraId="72CD1D9D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课程</w:t>
            </w:r>
          </w:p>
        </w:tc>
        <w:tc>
          <w:tcPr>
            <w:tcW w:w="6233" w:type="dxa"/>
            <w:gridSpan w:val="5"/>
          </w:tcPr>
          <w:p w14:paraId="65857BAF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绳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彩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飞扬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  琴声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悠扬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“非遗” 剪纸</w:t>
            </w:r>
          </w:p>
          <w:p w14:paraId="1BABE629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787" w:type="dxa"/>
            <w:vMerge w:val="continue"/>
          </w:tcPr>
          <w:p w14:paraId="64FDBF8B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4D346929">
      <w:pPr>
        <w:bidi w:val="0"/>
        <w:jc w:val="left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表2：定远县花园湖小学善智课程设置规划表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br w:type="page"/>
      </w:r>
    </w:p>
    <w:p w14:paraId="1907C59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表3：定远县花园湖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eastAsia="zh-CN"/>
        </w:rPr>
        <w:t>小学课程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内容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eastAsia="zh-CN"/>
        </w:rPr>
        <w:t>设置表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6"/>
          <w:szCs w:val="36"/>
          <w:lang w:val="en-US" w:eastAsia="zh-CN"/>
        </w:rPr>
        <w:t xml:space="preserve"> 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 xml:space="preserve">                        </w:t>
      </w:r>
    </w:p>
    <w:tbl>
      <w:tblPr>
        <w:tblStyle w:val="10"/>
        <w:tblpPr w:leftFromText="180" w:rightFromText="180" w:vertAnchor="text" w:tblpX="10214" w:tblpY="106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"/>
      </w:tblGrid>
      <w:tr w14:paraId="690CB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324" w:type="dxa"/>
          </w:tcPr>
          <w:p w14:paraId="378D49BA">
            <w:pPr>
              <w:bidi w:val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265D5449">
      <w:pPr>
        <w:bidi w:val="0"/>
        <w:jc w:val="both"/>
        <w:rPr>
          <w:rFonts w:hint="eastAsia"/>
          <w:lang w:val="en-US" w:eastAsia="zh-CN"/>
        </w:rPr>
      </w:pPr>
    </w:p>
    <w:tbl>
      <w:tblPr>
        <w:tblStyle w:val="10"/>
        <w:tblpPr w:leftFromText="181" w:rightFromText="181" w:vertAnchor="text" w:horzAnchor="page" w:tblpX="1957" w:tblpY="154"/>
        <w:tblOverlap w:val="never"/>
        <w:tblW w:w="495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8"/>
        <w:gridCol w:w="1045"/>
        <w:gridCol w:w="1406"/>
        <w:gridCol w:w="29"/>
        <w:gridCol w:w="1207"/>
        <w:gridCol w:w="3"/>
        <w:gridCol w:w="1220"/>
        <w:gridCol w:w="10"/>
        <w:gridCol w:w="1320"/>
        <w:gridCol w:w="1170"/>
      </w:tblGrid>
      <w:tr w14:paraId="10CDE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restart"/>
          </w:tcPr>
          <w:p w14:paraId="2369B6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</w:tcPr>
          <w:p w14:paraId="764C37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年级</w:t>
            </w:r>
          </w:p>
        </w:tc>
      </w:tr>
      <w:tr w14:paraId="1B966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3EE82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19" w:type="pct"/>
          </w:tcPr>
          <w:p w14:paraId="7B61B8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</w:t>
            </w:r>
          </w:p>
        </w:tc>
        <w:tc>
          <w:tcPr>
            <w:tcW w:w="833" w:type="pct"/>
          </w:tcPr>
          <w:p w14:paraId="43E0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二</w:t>
            </w:r>
          </w:p>
        </w:tc>
        <w:tc>
          <w:tcPr>
            <w:tcW w:w="732" w:type="pct"/>
            <w:gridSpan w:val="2"/>
          </w:tcPr>
          <w:p w14:paraId="0EBCDB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三</w:t>
            </w:r>
          </w:p>
        </w:tc>
        <w:tc>
          <w:tcPr>
            <w:tcW w:w="725" w:type="pct"/>
            <w:gridSpan w:val="2"/>
          </w:tcPr>
          <w:p w14:paraId="09BEC9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四</w:t>
            </w:r>
          </w:p>
        </w:tc>
        <w:tc>
          <w:tcPr>
            <w:tcW w:w="786" w:type="pct"/>
            <w:gridSpan w:val="2"/>
          </w:tcPr>
          <w:p w14:paraId="10936A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五</w:t>
            </w:r>
          </w:p>
        </w:tc>
        <w:tc>
          <w:tcPr>
            <w:tcW w:w="691" w:type="pct"/>
          </w:tcPr>
          <w:p w14:paraId="6E462B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</w:t>
            </w:r>
          </w:p>
        </w:tc>
      </w:tr>
      <w:tr w14:paraId="3ED79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restart"/>
            <w:vAlign w:val="center"/>
          </w:tcPr>
          <w:p w14:paraId="12B7B9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国家</w:t>
            </w:r>
          </w:p>
          <w:p w14:paraId="37F6AD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课程</w:t>
            </w:r>
          </w:p>
        </w:tc>
        <w:tc>
          <w:tcPr>
            <w:tcW w:w="4389" w:type="pct"/>
            <w:gridSpan w:val="9"/>
          </w:tcPr>
          <w:p w14:paraId="0CBE47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道德与法治</w:t>
            </w:r>
          </w:p>
        </w:tc>
      </w:tr>
      <w:tr w14:paraId="4A34B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024CCD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</w:tcPr>
          <w:p w14:paraId="07E7B6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语文</w:t>
            </w:r>
          </w:p>
        </w:tc>
      </w:tr>
      <w:tr w14:paraId="7AD20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349918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</w:tcPr>
          <w:p w14:paraId="56A1DB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数学</w:t>
            </w:r>
          </w:p>
        </w:tc>
      </w:tr>
      <w:tr w14:paraId="5E5FF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20D694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19" w:type="pct"/>
          </w:tcPr>
          <w:p w14:paraId="0FA41C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3" w:type="pct"/>
          </w:tcPr>
          <w:p w14:paraId="6254F5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36" w:type="pct"/>
            <w:gridSpan w:val="7"/>
          </w:tcPr>
          <w:p w14:paraId="1D352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英语</w:t>
            </w:r>
          </w:p>
        </w:tc>
      </w:tr>
      <w:tr w14:paraId="246D4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5852E5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</w:tcPr>
          <w:p w14:paraId="48CF1C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科学</w:t>
            </w:r>
          </w:p>
        </w:tc>
      </w:tr>
      <w:tr w14:paraId="38BFD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035850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19" w:type="pct"/>
          </w:tcPr>
          <w:p w14:paraId="64A00B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3" w:type="pct"/>
          </w:tcPr>
          <w:p w14:paraId="388CD8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936" w:type="pct"/>
            <w:gridSpan w:val="7"/>
          </w:tcPr>
          <w:p w14:paraId="61B1D7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信息科技</w:t>
            </w:r>
          </w:p>
        </w:tc>
      </w:tr>
      <w:tr w14:paraId="0B91E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1CB68C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</w:tcPr>
          <w:p w14:paraId="10ECF6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体育与健康</w:t>
            </w:r>
          </w:p>
        </w:tc>
      </w:tr>
      <w:tr w14:paraId="2909E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38E545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</w:tcPr>
          <w:p w14:paraId="60EC13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艺术</w:t>
            </w:r>
          </w:p>
        </w:tc>
      </w:tr>
      <w:tr w14:paraId="39431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003FD1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</w:tcPr>
          <w:p w14:paraId="7FA42A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劳动</w:t>
            </w:r>
          </w:p>
        </w:tc>
      </w:tr>
      <w:tr w14:paraId="05896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</w:tcPr>
          <w:p w14:paraId="3FFB06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</w:tcPr>
          <w:p w14:paraId="629E2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综合实践活动</w:t>
            </w:r>
          </w:p>
        </w:tc>
      </w:tr>
      <w:tr w14:paraId="42120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3" w:hRule="atLeast"/>
        </w:trPr>
        <w:tc>
          <w:tcPr>
            <w:tcW w:w="610" w:type="pct"/>
            <w:vMerge w:val="continue"/>
            <w:vAlign w:val="center"/>
          </w:tcPr>
          <w:p w14:paraId="338501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9" w:type="pct"/>
            <w:gridSpan w:val="3"/>
            <w:vAlign w:val="center"/>
          </w:tcPr>
          <w:p w14:paraId="1122155E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数学绘本</w:t>
            </w:r>
          </w:p>
          <w:p w14:paraId="3D6DDB5B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诗韵说唱秀</w:t>
            </w:r>
          </w:p>
          <w:p w14:paraId="7975155B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玩转图形</w:t>
            </w:r>
          </w:p>
          <w:p w14:paraId="0EEE0068"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故事趣时光</w:t>
            </w:r>
          </w:p>
        </w:tc>
        <w:tc>
          <w:tcPr>
            <w:tcW w:w="2228" w:type="pct"/>
            <w:gridSpan w:val="5"/>
            <w:vAlign w:val="center"/>
          </w:tcPr>
          <w:p w14:paraId="61F43CD4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724C8351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琴声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悠扬、美妙涂鸦、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武术</w:t>
            </w:r>
          </w:p>
          <w:p w14:paraId="4502A9A0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趣味数独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、玩转篮球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飞舞足球、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羽毛球、乒乓球、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趣味编程、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科创实践、</w:t>
            </w:r>
          </w:p>
          <w:p w14:paraId="17510BC0">
            <w:pPr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趣配“英”、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非遗剪纸、青衿诵华章</w:t>
            </w:r>
          </w:p>
          <w:p w14:paraId="145236EC">
            <w:pPr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691" w:type="pct"/>
            <w:vAlign w:val="center"/>
          </w:tcPr>
          <w:p w14:paraId="204D26BE">
            <w:pPr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足球</w:t>
            </w:r>
          </w:p>
          <w:p w14:paraId="7D46AECB">
            <w:pPr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玩转篮球</w:t>
            </w:r>
          </w:p>
          <w:p w14:paraId="7F686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羽毛球</w:t>
            </w:r>
          </w:p>
        </w:tc>
      </w:tr>
      <w:tr w14:paraId="051C3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  <w:vAlign w:val="center"/>
          </w:tcPr>
          <w:p w14:paraId="777013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  <w:vAlign w:val="center"/>
          </w:tcPr>
          <w:p w14:paraId="39AA8F64"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礼仪教育、感恩教育、节庆仪式、安全教育、经典诵读、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传统田园劳动</w:t>
            </w:r>
          </w:p>
        </w:tc>
      </w:tr>
      <w:tr w14:paraId="07119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10" w:type="pct"/>
            <w:vMerge w:val="continue"/>
            <w:vAlign w:val="center"/>
          </w:tcPr>
          <w:p w14:paraId="703EE3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89" w:type="pct"/>
            <w:gridSpan w:val="9"/>
            <w:vAlign w:val="center"/>
          </w:tcPr>
          <w:p w14:paraId="38C1D3C6">
            <w:pPr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绳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彩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飞扬</w:t>
            </w:r>
          </w:p>
        </w:tc>
      </w:tr>
      <w:tr w14:paraId="2B92D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</w:trPr>
        <w:tc>
          <w:tcPr>
            <w:tcW w:w="610" w:type="pct"/>
          </w:tcPr>
          <w:p w14:paraId="7E654B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周课时</w:t>
            </w:r>
          </w:p>
        </w:tc>
        <w:tc>
          <w:tcPr>
            <w:tcW w:w="619" w:type="pct"/>
            <w:vAlign w:val="center"/>
          </w:tcPr>
          <w:p w14:paraId="502CF500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2"/>
                <w:sz w:val="24"/>
                <w:szCs w:val="24"/>
              </w:rPr>
              <w:t>26</w:t>
            </w:r>
          </w:p>
        </w:tc>
        <w:tc>
          <w:tcPr>
            <w:tcW w:w="833" w:type="pct"/>
            <w:vAlign w:val="center"/>
          </w:tcPr>
          <w:p w14:paraId="7DCF5F60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2"/>
                <w:sz w:val="24"/>
                <w:szCs w:val="24"/>
              </w:rPr>
              <w:t>26</w:t>
            </w:r>
          </w:p>
        </w:tc>
        <w:tc>
          <w:tcPr>
            <w:tcW w:w="734" w:type="pct"/>
            <w:gridSpan w:val="3"/>
            <w:vAlign w:val="center"/>
          </w:tcPr>
          <w:p w14:paraId="2592DA90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729" w:type="pct"/>
            <w:gridSpan w:val="2"/>
            <w:vAlign w:val="center"/>
          </w:tcPr>
          <w:p w14:paraId="082FD6D0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781" w:type="pct"/>
            <w:vAlign w:val="center"/>
          </w:tcPr>
          <w:p w14:paraId="2D1F67BE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691" w:type="pct"/>
            <w:vAlign w:val="center"/>
          </w:tcPr>
          <w:p w14:paraId="29B3F981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80" w:lineRule="exact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30</w:t>
            </w:r>
          </w:p>
        </w:tc>
      </w:tr>
    </w:tbl>
    <w:p w14:paraId="1D1DBC09">
      <w:pPr>
        <w:bidi w:val="0"/>
        <w:jc w:val="right"/>
        <w:rPr>
          <w:rFonts w:hint="eastAsia"/>
          <w:lang w:val="en-US" w:eastAsia="zh-CN"/>
        </w:rPr>
      </w:pPr>
    </w:p>
    <w:p w14:paraId="3BE6608D">
      <w:p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A9A8D16">
      <w:pPr>
        <w:bidi w:val="0"/>
        <w:jc w:val="both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表4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定远县花园湖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eastAsia="zh-CN"/>
        </w:rPr>
        <w:t>小学课程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周课时安排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eastAsia="zh-CN"/>
        </w:rPr>
        <w:t>表</w:t>
      </w:r>
    </w:p>
    <w:tbl>
      <w:tblPr>
        <w:tblStyle w:val="10"/>
        <w:tblpPr w:leftFromText="180" w:rightFromText="180" w:vertAnchor="text" w:horzAnchor="page" w:tblpX="1779" w:tblpY="561"/>
        <w:tblOverlap w:val="never"/>
        <w:tblW w:w="510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2"/>
        <w:gridCol w:w="1124"/>
        <w:gridCol w:w="1124"/>
        <w:gridCol w:w="1124"/>
        <w:gridCol w:w="1124"/>
        <w:gridCol w:w="1124"/>
        <w:gridCol w:w="1136"/>
      </w:tblGrid>
      <w:tr w14:paraId="43D2F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116" w:type="pct"/>
            <w:vMerge w:val="restart"/>
          </w:tcPr>
          <w:p w14:paraId="099912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883" w:type="pct"/>
            <w:gridSpan w:val="6"/>
            <w:vAlign w:val="center"/>
          </w:tcPr>
          <w:p w14:paraId="5435BB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pacing w:val="-4"/>
                <w:sz w:val="32"/>
                <w:szCs w:val="32"/>
              </w:rPr>
              <w:t>各年级周课时</w:t>
            </w:r>
          </w:p>
        </w:tc>
      </w:tr>
      <w:tr w14:paraId="03B7C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Merge w:val="continue"/>
          </w:tcPr>
          <w:p w14:paraId="26CFFA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" w:type="pct"/>
            <w:vAlign w:val="center"/>
          </w:tcPr>
          <w:p w14:paraId="7E8868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86" w:lineRule="exact"/>
              <w:ind w:left="0" w:lef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position w:val="-5"/>
                <w:sz w:val="32"/>
                <w:szCs w:val="32"/>
              </w:rPr>
              <w:t>一</w:t>
            </w:r>
          </w:p>
        </w:tc>
        <w:tc>
          <w:tcPr>
            <w:tcW w:w="646" w:type="pct"/>
            <w:vAlign w:val="center"/>
          </w:tcPr>
          <w:p w14:paraId="5FC55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78" w:lineRule="auto"/>
              <w:ind w:left="0" w:lef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32"/>
                <w:szCs w:val="32"/>
              </w:rPr>
              <w:t>二</w:t>
            </w:r>
          </w:p>
        </w:tc>
        <w:tc>
          <w:tcPr>
            <w:tcW w:w="646" w:type="pct"/>
            <w:vAlign w:val="center"/>
          </w:tcPr>
          <w:p w14:paraId="13D01A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37" w:lineRule="auto"/>
              <w:ind w:left="0" w:lef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32"/>
                <w:szCs w:val="32"/>
              </w:rPr>
              <w:t>三</w:t>
            </w:r>
          </w:p>
        </w:tc>
        <w:tc>
          <w:tcPr>
            <w:tcW w:w="646" w:type="pct"/>
            <w:vAlign w:val="center"/>
          </w:tcPr>
          <w:p w14:paraId="464CE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2" w:lineRule="auto"/>
              <w:ind w:left="0" w:lef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32"/>
                <w:szCs w:val="32"/>
              </w:rPr>
              <w:t>四</w:t>
            </w:r>
          </w:p>
        </w:tc>
        <w:tc>
          <w:tcPr>
            <w:tcW w:w="646" w:type="pct"/>
            <w:vAlign w:val="center"/>
          </w:tcPr>
          <w:p w14:paraId="0216D8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9" w:lineRule="auto"/>
              <w:ind w:left="0" w:lef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32"/>
                <w:szCs w:val="32"/>
              </w:rPr>
              <w:t>五</w:t>
            </w:r>
          </w:p>
        </w:tc>
        <w:tc>
          <w:tcPr>
            <w:tcW w:w="652" w:type="pct"/>
            <w:vAlign w:val="center"/>
          </w:tcPr>
          <w:p w14:paraId="7833D5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4" w:lineRule="auto"/>
              <w:ind w:left="0" w:left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 w:val="0"/>
                <w:color w:val="000000"/>
                <w:sz w:val="32"/>
                <w:szCs w:val="32"/>
              </w:rPr>
              <w:t>六</w:t>
            </w:r>
          </w:p>
        </w:tc>
      </w:tr>
      <w:tr w14:paraId="0EA69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</w:trPr>
        <w:tc>
          <w:tcPr>
            <w:tcW w:w="1116" w:type="pct"/>
            <w:vAlign w:val="center"/>
          </w:tcPr>
          <w:p w14:paraId="540F63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道德与法治</w:t>
            </w:r>
          </w:p>
        </w:tc>
        <w:tc>
          <w:tcPr>
            <w:tcW w:w="646" w:type="pct"/>
            <w:vAlign w:val="center"/>
          </w:tcPr>
          <w:p w14:paraId="51DBA275">
            <w:pPr>
              <w:pStyle w:val="13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95" w:line="240" w:lineRule="auto"/>
              <w:jc w:val="center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6" w:type="pct"/>
            <w:vAlign w:val="center"/>
          </w:tcPr>
          <w:p w14:paraId="7BF7C6D9">
            <w:pPr>
              <w:pStyle w:val="13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95" w:line="240" w:lineRule="auto"/>
              <w:jc w:val="center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6" w:type="pct"/>
            <w:vAlign w:val="center"/>
          </w:tcPr>
          <w:p w14:paraId="3A142C50">
            <w:pPr>
              <w:pStyle w:val="13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95" w:line="240" w:lineRule="auto"/>
              <w:jc w:val="center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6" w:type="pct"/>
            <w:vAlign w:val="center"/>
          </w:tcPr>
          <w:p w14:paraId="20AB3023">
            <w:pPr>
              <w:pStyle w:val="13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95" w:line="240" w:lineRule="auto"/>
              <w:jc w:val="center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6" w:type="pct"/>
            <w:vAlign w:val="center"/>
          </w:tcPr>
          <w:p w14:paraId="4C982AA1">
            <w:pPr>
              <w:pStyle w:val="13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95" w:line="240" w:lineRule="auto"/>
              <w:jc w:val="center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52" w:type="pct"/>
            <w:vAlign w:val="center"/>
          </w:tcPr>
          <w:p w14:paraId="0FF6F88C">
            <w:pPr>
              <w:pStyle w:val="13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95" w:line="240" w:lineRule="auto"/>
              <w:jc w:val="center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</w:tr>
      <w:tr w14:paraId="04334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5E1408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语文</w:t>
            </w:r>
          </w:p>
        </w:tc>
        <w:tc>
          <w:tcPr>
            <w:tcW w:w="646" w:type="pct"/>
            <w:vAlign w:val="center"/>
          </w:tcPr>
          <w:p w14:paraId="252E816C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6" w:type="pct"/>
            <w:vAlign w:val="center"/>
          </w:tcPr>
          <w:p w14:paraId="17B27DB8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6" w:type="pct"/>
            <w:vAlign w:val="center"/>
          </w:tcPr>
          <w:p w14:paraId="739EC84A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6" w:type="pct"/>
            <w:vAlign w:val="center"/>
          </w:tcPr>
          <w:p w14:paraId="2F03DFCB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6" w:type="pct"/>
            <w:vAlign w:val="center"/>
          </w:tcPr>
          <w:p w14:paraId="73F77A63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652" w:type="pct"/>
            <w:vAlign w:val="center"/>
          </w:tcPr>
          <w:p w14:paraId="7EEFFED8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7</w:t>
            </w:r>
          </w:p>
        </w:tc>
      </w:tr>
      <w:tr w14:paraId="2821C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3442D1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数学</w:t>
            </w:r>
          </w:p>
        </w:tc>
        <w:tc>
          <w:tcPr>
            <w:tcW w:w="646" w:type="pct"/>
            <w:vAlign w:val="center"/>
          </w:tcPr>
          <w:p w14:paraId="45B7E874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  <w:tc>
          <w:tcPr>
            <w:tcW w:w="646" w:type="pct"/>
            <w:vAlign w:val="center"/>
          </w:tcPr>
          <w:p w14:paraId="336545C8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  <w:tc>
          <w:tcPr>
            <w:tcW w:w="646" w:type="pct"/>
            <w:vAlign w:val="center"/>
          </w:tcPr>
          <w:p w14:paraId="1A5A86D9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  <w:tc>
          <w:tcPr>
            <w:tcW w:w="646" w:type="pct"/>
            <w:vAlign w:val="center"/>
          </w:tcPr>
          <w:p w14:paraId="255D76FA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  <w:tc>
          <w:tcPr>
            <w:tcW w:w="646" w:type="pct"/>
            <w:vAlign w:val="center"/>
          </w:tcPr>
          <w:p w14:paraId="7B3C2A50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652" w:type="pct"/>
            <w:vAlign w:val="center"/>
          </w:tcPr>
          <w:p w14:paraId="4F8792D2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</w:tr>
      <w:tr w14:paraId="78BDC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0F6BF0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英语</w:t>
            </w:r>
          </w:p>
        </w:tc>
        <w:tc>
          <w:tcPr>
            <w:tcW w:w="646" w:type="pct"/>
            <w:vAlign w:val="center"/>
          </w:tcPr>
          <w:p w14:paraId="14316F6E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646" w:type="pct"/>
            <w:vAlign w:val="center"/>
          </w:tcPr>
          <w:p w14:paraId="2AD2FFB0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646" w:type="pct"/>
            <w:vAlign w:val="center"/>
          </w:tcPr>
          <w:p w14:paraId="6E52EE38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6" w:type="pct"/>
            <w:vAlign w:val="center"/>
          </w:tcPr>
          <w:p w14:paraId="1FC76E19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6" w:type="pct"/>
            <w:vAlign w:val="center"/>
          </w:tcPr>
          <w:p w14:paraId="7FA0A0FD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652" w:type="pct"/>
            <w:vAlign w:val="center"/>
          </w:tcPr>
          <w:p w14:paraId="59E647C0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</w:tr>
      <w:tr w14:paraId="53999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0E4645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科学</w:t>
            </w:r>
          </w:p>
        </w:tc>
        <w:tc>
          <w:tcPr>
            <w:tcW w:w="646" w:type="pct"/>
            <w:vAlign w:val="center"/>
          </w:tcPr>
          <w:p w14:paraId="7A0351D6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6" w:type="pct"/>
            <w:vAlign w:val="center"/>
          </w:tcPr>
          <w:p w14:paraId="7C81AAFA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6" w:type="pct"/>
            <w:vAlign w:val="center"/>
          </w:tcPr>
          <w:p w14:paraId="6630C069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6" w:type="pct"/>
            <w:vAlign w:val="center"/>
          </w:tcPr>
          <w:p w14:paraId="1DCF42F6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6" w:type="pct"/>
            <w:vAlign w:val="center"/>
          </w:tcPr>
          <w:p w14:paraId="32E93FA5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652" w:type="pct"/>
            <w:vAlign w:val="center"/>
          </w:tcPr>
          <w:p w14:paraId="4FA56DBD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</w:tr>
      <w:tr w14:paraId="0DA05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34F702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信息科技</w:t>
            </w:r>
          </w:p>
        </w:tc>
        <w:tc>
          <w:tcPr>
            <w:tcW w:w="646" w:type="pct"/>
            <w:vAlign w:val="center"/>
          </w:tcPr>
          <w:p w14:paraId="327B00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646" w:type="pct"/>
            <w:vAlign w:val="center"/>
          </w:tcPr>
          <w:p w14:paraId="0D2C2E3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646" w:type="pct"/>
            <w:vAlign w:val="center"/>
          </w:tcPr>
          <w:p w14:paraId="2A98A9CB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6" w:type="pct"/>
            <w:vAlign w:val="center"/>
          </w:tcPr>
          <w:p w14:paraId="25676EBA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6" w:type="pct"/>
            <w:vAlign w:val="center"/>
          </w:tcPr>
          <w:p w14:paraId="5D366652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652" w:type="pct"/>
            <w:vAlign w:val="center"/>
          </w:tcPr>
          <w:p w14:paraId="6C8D25E0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</w:tr>
      <w:tr w14:paraId="18D79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64EDDB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体育与健康</w:t>
            </w:r>
          </w:p>
        </w:tc>
        <w:tc>
          <w:tcPr>
            <w:tcW w:w="646" w:type="pct"/>
            <w:vAlign w:val="center"/>
          </w:tcPr>
          <w:p w14:paraId="7773F48D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646" w:type="pct"/>
            <w:vAlign w:val="center"/>
          </w:tcPr>
          <w:p w14:paraId="004E5AE8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646" w:type="pct"/>
            <w:vAlign w:val="center"/>
          </w:tcPr>
          <w:p w14:paraId="13A632B1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646" w:type="pct"/>
            <w:vAlign w:val="center"/>
          </w:tcPr>
          <w:p w14:paraId="076857DD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646" w:type="pct"/>
            <w:vAlign w:val="center"/>
          </w:tcPr>
          <w:p w14:paraId="16B38E2D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652" w:type="pct"/>
            <w:vAlign w:val="center"/>
          </w:tcPr>
          <w:p w14:paraId="722AB987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5</w:t>
            </w:r>
          </w:p>
        </w:tc>
      </w:tr>
      <w:tr w14:paraId="2CCE6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5F2CD7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艺术</w:t>
            </w:r>
          </w:p>
        </w:tc>
        <w:tc>
          <w:tcPr>
            <w:tcW w:w="646" w:type="pct"/>
            <w:vAlign w:val="center"/>
          </w:tcPr>
          <w:p w14:paraId="2DA54673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snapToGrid w:val="0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  <w:tc>
          <w:tcPr>
            <w:tcW w:w="646" w:type="pct"/>
            <w:vAlign w:val="center"/>
          </w:tcPr>
          <w:p w14:paraId="545560ED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snapToGrid w:val="0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  <w:tc>
          <w:tcPr>
            <w:tcW w:w="646" w:type="pct"/>
            <w:vAlign w:val="center"/>
          </w:tcPr>
          <w:p w14:paraId="6B0D947A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snapToGrid w:val="0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  <w:tc>
          <w:tcPr>
            <w:tcW w:w="646" w:type="pct"/>
            <w:vAlign w:val="center"/>
          </w:tcPr>
          <w:p w14:paraId="6A9AF3E8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snapToGrid w:val="0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  <w:tc>
          <w:tcPr>
            <w:tcW w:w="646" w:type="pct"/>
            <w:vAlign w:val="center"/>
          </w:tcPr>
          <w:p w14:paraId="7E53D33D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snapToGrid w:val="0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  <w:tc>
          <w:tcPr>
            <w:tcW w:w="652" w:type="pct"/>
            <w:vAlign w:val="center"/>
          </w:tcPr>
          <w:p w14:paraId="4E77FD8F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snapToGrid w:val="0"/>
                <w:color w:val="000000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pacing w:val="1"/>
                <w:sz w:val="32"/>
                <w:szCs w:val="32"/>
              </w:rPr>
              <w:t>4</w:t>
            </w:r>
          </w:p>
        </w:tc>
      </w:tr>
      <w:tr w14:paraId="65347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2C47BB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劳动</w:t>
            </w:r>
          </w:p>
        </w:tc>
        <w:tc>
          <w:tcPr>
            <w:tcW w:w="646" w:type="pct"/>
            <w:vMerge w:val="restart"/>
            <w:vAlign w:val="center"/>
          </w:tcPr>
          <w:p w14:paraId="03130BD7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646" w:type="pct"/>
            <w:vMerge w:val="restart"/>
            <w:vAlign w:val="center"/>
          </w:tcPr>
          <w:p w14:paraId="5597414D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646" w:type="pct"/>
            <w:vMerge w:val="restart"/>
            <w:vAlign w:val="center"/>
          </w:tcPr>
          <w:p w14:paraId="02CE0278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646" w:type="pct"/>
            <w:vMerge w:val="restart"/>
            <w:vAlign w:val="center"/>
          </w:tcPr>
          <w:p w14:paraId="2D13317A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646" w:type="pct"/>
            <w:vMerge w:val="restart"/>
            <w:vAlign w:val="center"/>
          </w:tcPr>
          <w:p w14:paraId="556AF98C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652" w:type="pct"/>
            <w:vMerge w:val="restart"/>
            <w:vAlign w:val="center"/>
          </w:tcPr>
          <w:p w14:paraId="34DAB6DA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b w:val="0"/>
                <w:bCs w:val="0"/>
                <w:color w:val="000000"/>
                <w:sz w:val="32"/>
                <w:szCs w:val="32"/>
                <w:lang w:val="en-US" w:eastAsia="zh-CN"/>
              </w:rPr>
              <w:t>2</w:t>
            </w:r>
          </w:p>
        </w:tc>
      </w:tr>
      <w:tr w14:paraId="13572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4C213B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综合实践</w:t>
            </w:r>
          </w:p>
        </w:tc>
        <w:tc>
          <w:tcPr>
            <w:tcW w:w="646" w:type="pct"/>
            <w:vMerge w:val="continue"/>
            <w:vAlign w:val="center"/>
          </w:tcPr>
          <w:p w14:paraId="2B261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" w:type="pct"/>
            <w:vMerge w:val="continue"/>
            <w:vAlign w:val="center"/>
          </w:tcPr>
          <w:p w14:paraId="1754E9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" w:type="pct"/>
            <w:vMerge w:val="continue"/>
            <w:vAlign w:val="center"/>
          </w:tcPr>
          <w:p w14:paraId="610CA2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" w:type="pct"/>
            <w:vMerge w:val="continue"/>
            <w:vAlign w:val="center"/>
          </w:tcPr>
          <w:p w14:paraId="5A8848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" w:type="pct"/>
            <w:vMerge w:val="continue"/>
            <w:vAlign w:val="center"/>
          </w:tcPr>
          <w:p w14:paraId="28953C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52" w:type="pct"/>
            <w:vMerge w:val="continue"/>
            <w:vAlign w:val="center"/>
          </w:tcPr>
          <w:p w14:paraId="7FCCE5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4DE06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1116" w:type="pct"/>
            <w:vAlign w:val="center"/>
          </w:tcPr>
          <w:p w14:paraId="38CBD5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校本课程</w:t>
            </w:r>
          </w:p>
        </w:tc>
        <w:tc>
          <w:tcPr>
            <w:tcW w:w="646" w:type="pct"/>
            <w:vMerge w:val="continue"/>
            <w:vAlign w:val="center"/>
          </w:tcPr>
          <w:p w14:paraId="1171C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" w:type="pct"/>
            <w:vMerge w:val="continue"/>
            <w:vAlign w:val="center"/>
          </w:tcPr>
          <w:p w14:paraId="1A9066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" w:type="pct"/>
            <w:vMerge w:val="continue"/>
            <w:vAlign w:val="center"/>
          </w:tcPr>
          <w:p w14:paraId="1A6563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" w:type="pct"/>
            <w:vMerge w:val="continue"/>
            <w:vAlign w:val="center"/>
          </w:tcPr>
          <w:p w14:paraId="26023A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46" w:type="pct"/>
            <w:vMerge w:val="continue"/>
            <w:vAlign w:val="center"/>
          </w:tcPr>
          <w:p w14:paraId="13526C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652" w:type="pct"/>
            <w:vMerge w:val="continue"/>
            <w:vAlign w:val="center"/>
          </w:tcPr>
          <w:p w14:paraId="350930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 w14:paraId="211AB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</w:trPr>
        <w:tc>
          <w:tcPr>
            <w:tcW w:w="1116" w:type="pct"/>
            <w:vAlign w:val="center"/>
          </w:tcPr>
          <w:p w14:paraId="000011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方正仿宋_GBK" w:cs="方正仿宋_GBK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方正仿宋_GBK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周课时</w:t>
            </w:r>
          </w:p>
        </w:tc>
        <w:tc>
          <w:tcPr>
            <w:tcW w:w="646" w:type="pct"/>
            <w:vAlign w:val="center"/>
          </w:tcPr>
          <w:p w14:paraId="4AF03275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color w:val="000000"/>
                <w:spacing w:val="2"/>
                <w:sz w:val="32"/>
                <w:szCs w:val="32"/>
              </w:rPr>
              <w:t>26</w:t>
            </w:r>
          </w:p>
        </w:tc>
        <w:tc>
          <w:tcPr>
            <w:tcW w:w="646" w:type="pct"/>
            <w:vAlign w:val="center"/>
          </w:tcPr>
          <w:p w14:paraId="29488FC7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color w:val="000000"/>
                <w:spacing w:val="2"/>
                <w:sz w:val="32"/>
                <w:szCs w:val="32"/>
              </w:rPr>
              <w:t>26</w:t>
            </w:r>
          </w:p>
        </w:tc>
        <w:tc>
          <w:tcPr>
            <w:tcW w:w="646" w:type="pct"/>
            <w:vAlign w:val="center"/>
          </w:tcPr>
          <w:p w14:paraId="2DA4B431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color w:val="000000"/>
                <w:sz w:val="32"/>
                <w:szCs w:val="32"/>
              </w:rPr>
              <w:t>30</w:t>
            </w:r>
          </w:p>
        </w:tc>
        <w:tc>
          <w:tcPr>
            <w:tcW w:w="646" w:type="pct"/>
            <w:vAlign w:val="center"/>
          </w:tcPr>
          <w:p w14:paraId="5AE0BB9E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color w:val="000000"/>
                <w:sz w:val="32"/>
                <w:szCs w:val="32"/>
              </w:rPr>
              <w:t>30</w:t>
            </w:r>
          </w:p>
        </w:tc>
        <w:tc>
          <w:tcPr>
            <w:tcW w:w="646" w:type="pct"/>
            <w:vAlign w:val="center"/>
          </w:tcPr>
          <w:p w14:paraId="4E75F0D1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color w:val="000000"/>
                <w:sz w:val="32"/>
                <w:szCs w:val="32"/>
              </w:rPr>
              <w:t>30</w:t>
            </w:r>
          </w:p>
        </w:tc>
        <w:tc>
          <w:tcPr>
            <w:tcW w:w="652" w:type="pct"/>
            <w:vAlign w:val="center"/>
          </w:tcPr>
          <w:p w14:paraId="19CD6838">
            <w:pPr>
              <w:pStyle w:val="13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default" w:ascii="Times New Roman" w:hAnsi="Times New Roman" w:eastAsia="方正仿宋_GB2312" w:cs="Times New Roman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2312" w:cs="Times New Roman"/>
                <w:color w:val="000000"/>
                <w:sz w:val="32"/>
                <w:szCs w:val="32"/>
              </w:rPr>
              <w:t>30</w:t>
            </w:r>
          </w:p>
        </w:tc>
      </w:tr>
    </w:tbl>
    <w:p w14:paraId="27BF1E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1" w:firstLineChars="100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</w:p>
    <w:p w14:paraId="569C0A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1" w:firstLineChars="100"/>
        <w:textAlignment w:val="auto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</w:p>
    <w:p w14:paraId="6A139DD9">
      <w:pPr>
        <w:bidi w:val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1D71F64">
      <w:pPr>
        <w:bidi w:val="0"/>
        <w:jc w:val="both"/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表5：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定远县花园湖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eastAsia="zh-CN"/>
        </w:rPr>
        <w:t>小学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  <w:t>作息时间</w:t>
      </w:r>
      <w:r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eastAsia="zh-CN"/>
        </w:rPr>
        <w:t>表</w:t>
      </w:r>
    </w:p>
    <w:p w14:paraId="1A3D48BC">
      <w:pPr>
        <w:bidi w:val="0"/>
        <w:jc w:val="both"/>
        <w:rPr>
          <w:rFonts w:hint="eastAsia" w:ascii="方正仿宋_GB2312" w:hAnsi="方正仿宋_GB2312" w:eastAsia="方正仿宋_GB2312" w:cs="方正仿宋_GB2312"/>
          <w:b/>
          <w:bCs/>
          <w:color w:val="auto"/>
          <w:sz w:val="32"/>
          <w:szCs w:val="32"/>
          <w:lang w:val="en-US" w:eastAsia="zh-CN"/>
        </w:rPr>
      </w:pPr>
    </w:p>
    <w:tbl>
      <w:tblPr>
        <w:tblStyle w:val="9"/>
        <w:tblW w:w="919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2736"/>
        <w:gridCol w:w="1116"/>
        <w:gridCol w:w="2545"/>
        <w:gridCol w:w="1860"/>
      </w:tblGrid>
      <w:tr w14:paraId="2EACA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9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D5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定远县花园湖小学作息时间表（试行）</w:t>
            </w:r>
          </w:p>
        </w:tc>
      </w:tr>
      <w:tr w14:paraId="18CB84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76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午别</w:t>
            </w: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34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项目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46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预备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3B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时间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51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时长（分钟）</w:t>
            </w:r>
          </w:p>
        </w:tc>
      </w:tr>
      <w:tr w14:paraId="46E48D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04629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上  午</w:t>
            </w: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86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晨检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F5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8:00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00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8:00-8:20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BE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</w:t>
            </w:r>
          </w:p>
        </w:tc>
      </w:tr>
      <w:tr w14:paraId="572C2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304B12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FF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第一节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AE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8:28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2D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8:30-9:10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2F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</w:t>
            </w:r>
          </w:p>
        </w:tc>
      </w:tr>
      <w:tr w14:paraId="2F9F3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381043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DA3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阳光体育大课间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D3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9:15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3F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9：15-9：45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E91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</w:t>
            </w:r>
          </w:p>
        </w:tc>
      </w:tr>
      <w:tr w14:paraId="11C9B1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013255C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E6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第二节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7D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9:48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DB7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9：50-10：30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75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</w:t>
            </w:r>
          </w:p>
        </w:tc>
      </w:tr>
      <w:tr w14:paraId="50D159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2F4FA4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FB0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第三节（含眼保健操）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8B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10:38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8D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10：45—11：25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39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</w:t>
            </w:r>
          </w:p>
        </w:tc>
      </w:tr>
      <w:tr w14:paraId="4FBE95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936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2509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 午</w:t>
            </w: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50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午饭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645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AD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11：30-12：00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56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</w:t>
            </w:r>
          </w:p>
        </w:tc>
      </w:tr>
      <w:tr w14:paraId="77D92F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</w:trPr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4218D7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95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午休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C877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CC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12：05-13：35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05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90</w:t>
            </w:r>
          </w:p>
        </w:tc>
      </w:tr>
      <w:tr w14:paraId="37854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9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6F675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下  午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2A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第四节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F4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13:58</w:t>
            </w:r>
          </w:p>
        </w:tc>
        <w:tc>
          <w:tcPr>
            <w:tcW w:w="25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8D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14：00-14：40</w:t>
            </w:r>
          </w:p>
        </w:tc>
        <w:tc>
          <w:tcPr>
            <w:tcW w:w="18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76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</w:t>
            </w:r>
          </w:p>
        </w:tc>
      </w:tr>
      <w:tr w14:paraId="0CC083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62F8E5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41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第五节（含眼保健操）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09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14:53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67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14：55-15：35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8B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40</w:t>
            </w:r>
          </w:p>
        </w:tc>
      </w:tr>
      <w:tr w14:paraId="46940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354A00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622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第六节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BFF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15:48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A6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15：50-16：30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AD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40</w:t>
            </w:r>
          </w:p>
        </w:tc>
      </w:tr>
      <w:tr w14:paraId="6B5996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51BCC2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53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阳光体育大课间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26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16:30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30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16：30-17：00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D8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30</w:t>
            </w:r>
          </w:p>
        </w:tc>
      </w:tr>
      <w:tr w14:paraId="21E869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</w:trPr>
        <w:tc>
          <w:tcPr>
            <w:tcW w:w="9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tbRlV"/>
            <w:vAlign w:val="center"/>
          </w:tcPr>
          <w:p w14:paraId="7904E9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7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9F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课后服务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8F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17:00</w:t>
            </w:r>
          </w:p>
        </w:tc>
        <w:tc>
          <w:tcPr>
            <w:tcW w:w="25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078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17：00-17：55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64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55</w:t>
            </w:r>
          </w:p>
        </w:tc>
      </w:tr>
    </w:tbl>
    <w:p w14:paraId="6FD9D7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308707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3.课程说明：</w:t>
      </w:r>
    </w:p>
    <w:p w14:paraId="3BB831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8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pacing w:val="-15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-15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每学年共39周。一至六年级新授课时间35周，复习时间2周，学校机动时间2周；学校机动时间用于集中安排劳动、科技、文体、艺术、研学活动等部分校本课程，延时服务时间除了作业辅导外，安排部分社团课程。一至二年级每周26课时，三至六年级每周30课时，每课时按40分钟计算。</w:t>
      </w:r>
    </w:p>
    <w:p w14:paraId="26707CB3">
      <w:pPr>
        <w:numPr>
          <w:ilvl w:val="0"/>
          <w:numId w:val="0"/>
        </w:numPr>
        <w:ind w:firstLine="580" w:firstLineChars="200"/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  <w:t>（1）《习近平新时代中国特色社会主义思想学生读本》在三、五年级上学期使用，由道德与法治课程教师任教，每周不少于1课时，在道德与法治课程中整合实施。</w:t>
      </w:r>
    </w:p>
    <w:p w14:paraId="09C6BFA2">
      <w:pPr>
        <w:numPr>
          <w:ilvl w:val="0"/>
          <w:numId w:val="0"/>
        </w:numPr>
        <w:ind w:firstLine="580" w:firstLineChars="200"/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  <w:t>（2）硬笔书法:三至六年级语文课程中每周安排1课时。</w:t>
      </w:r>
    </w:p>
    <w:p w14:paraId="2E508A33">
      <w:pPr>
        <w:numPr>
          <w:ilvl w:val="0"/>
          <w:numId w:val="0"/>
        </w:numPr>
        <w:ind w:leftChars="0" w:firstLine="580" w:firstLineChars="200"/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  <w:t>（3）体育与健康:每天上、下午各安排一次阳光大课间活动，没有体育课的当天安排体育活动课，保证学生每天1节体育课。</w:t>
      </w:r>
    </w:p>
    <w:p w14:paraId="2522B26E">
      <w:pPr>
        <w:numPr>
          <w:ilvl w:val="0"/>
          <w:numId w:val="0"/>
        </w:numPr>
        <w:ind w:leftChars="0" w:firstLine="580" w:firstLineChars="200"/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  <w:t>（4）有效利用课后服务时间，根据学生需求动态分班，安排学业辅导、兴趣拓展、实践探究、特长专项等活动，指导学生自主参加活动。</w:t>
      </w:r>
    </w:p>
    <w:p w14:paraId="4D71E8A2">
      <w:pPr>
        <w:numPr>
          <w:ilvl w:val="0"/>
          <w:numId w:val="0"/>
        </w:numPr>
        <w:ind w:leftChars="0" w:firstLine="580" w:firstLineChars="200"/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-15"/>
          <w:sz w:val="32"/>
          <w:szCs w:val="32"/>
          <w:lang w:val="en-US" w:eastAsia="zh-CN"/>
        </w:rPr>
        <w:t>（5）一年级入学第一周安排“新生适应课程”，统筹一周内所有课程，编制适应方案;六年级毕业前一个月，穿插安排“毕业教育课程”，全面落实幼小、初衔接工作。</w:t>
      </w:r>
    </w:p>
    <w:p w14:paraId="182569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三、课程实施与评价</w:t>
      </w:r>
    </w:p>
    <w:p w14:paraId="2F1CFF9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（一）实施“善智课堂”，严格落实好国家课程。</w:t>
      </w:r>
    </w:p>
    <w:p w14:paraId="05B64B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1.构建“善智课堂”。</w:t>
      </w:r>
    </w:p>
    <w:p w14:paraId="7537D6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要开好国家课程关键在课堂，我校提出的“善智课堂”其内涵是以活动为中心、以问题为中心、以体验为中心、以学生为中心，师生在课堂上互启智慧，教学互动的精彩演绎。在新课程理念的引领下，我们倡导把学习的主动权还给学生，培养学生自主学习能力。教师在教学中应有意识地贯穿学法指导，使学生学会学习的方法，从而高效落实国家课程。</w:t>
      </w:r>
    </w:p>
    <w:p w14:paraId="58CE28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2.“善智课堂”模式解读</w:t>
      </w:r>
    </w:p>
    <w:p w14:paraId="26E209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bookmarkStart w:id="2" w:name="17"/>
      <w:bookmarkEnd w:id="2"/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“善智课堂” 以 “善” 与 “智” 的有机结合为核心，旨在通过课堂教学改革培养学生思维习惯、质疑品质与创新精神，达成 “培养向善、智慧的新时代善智少年” 目标。其核心是聚焦学生核心素养的提升，从关注教师 “教” 转向关注学生 “学”。该课堂以 “智问”“智究”“智用” 为核心板块，学生依次经历 “疑学、互学、悟学” 过程：课堂起始，教师创设情境引导学生 “智问”，以疑问激发探索欲；针对问题，学生先独立思考再小组合作 “智究”，在思维碰撞中深化探究；最终学生将知识应用于实际情境 “智用”，通过成果展示实现知识向智慧转化，提升解决实际问题能力。</w:t>
      </w:r>
    </w:p>
    <w:p w14:paraId="1D12CE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表6：定远县花园湖小学“善智课堂”的模型</w:t>
      </w:r>
    </w:p>
    <w:p w14:paraId="64C6FA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320" w:firstLineChars="1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115570</wp:posOffset>
            </wp:positionV>
            <wp:extent cx="3399155" cy="2369820"/>
            <wp:effectExtent l="0" t="0" r="10795" b="11430"/>
            <wp:wrapNone/>
            <wp:docPr id="9" name="图片 9" descr="“善智”课堂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“善智”课堂模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E41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320" w:firstLineChars="1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</w:p>
    <w:p w14:paraId="2209BE3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320" w:firstLineChars="1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</w:p>
    <w:p w14:paraId="32FFA0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320" w:firstLineChars="1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</w:p>
    <w:p w14:paraId="4C935A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</w:p>
    <w:p w14:paraId="42C4AA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</w:p>
    <w:p w14:paraId="4C1A98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</w:p>
    <w:p w14:paraId="4859FB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3.“善智课堂”样态实践：</w:t>
      </w:r>
    </w:p>
    <w:p w14:paraId="59201E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我们的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“善智课堂”样态是在善智课堂教学模式的基础上聚焦 学生“听、说、思” 素养培养。</w:t>
      </w:r>
    </w:p>
    <w:p w14:paraId="3B2405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学会“听”是“善智课堂”的实现前提有“听”才有“学”。于是，我们在善智课堂上着力培养学生“听”的素养：我们实践：请听——培养听的习惯、倾听——教会听的方法、爱听——提升听的兴致。</w:t>
      </w:r>
    </w:p>
    <w:p w14:paraId="4DE8A3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学会“说”是“善智课堂”的表现常态在“说”的方面：我们要求低年级学生能大方地说、清楚地说；中年级学生要求能有序地说，完整地说；高年级学生增加了“个性地说”，也可以说成是有创意地说。“善智课堂”追求的就是把“思考时间交给学生，表达机会让给学生，体验过程留给学生”。</w:t>
      </w:r>
    </w:p>
    <w:p w14:paraId="3A4CE3E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学会“思”是“善智课堂”更高质态。教师可以通过提问题推进学生表达，引发学生深度思考。</w:t>
      </w:r>
    </w:p>
    <w:p w14:paraId="60681FC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所以，我们的善智课堂最美样态是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在倾听中，发现问题并能及时补充、提出不同的见解，从不同的角度思考问题，整个课堂是学生自主学习、自我提升的课堂。</w:t>
      </w:r>
    </w:p>
    <w:p w14:paraId="4CD4BF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表7：定远县花园湖小学“善智课堂”的样态</w:t>
      </w:r>
    </w:p>
    <w:p w14:paraId="1A59CF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978400" cy="2349500"/>
            <wp:effectExtent l="0" t="0" r="12700" b="12700"/>
            <wp:docPr id="5" name="图片 5" descr="exported_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xported_image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03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具体实施。由学校教导处和教科室牵头组织教研培训和实施，制定学校课堂教学巡查制度、学校集体备课和听评课制度、各学科作业设计实施细则、教师专业成长实施办法等，做到有方案、有检查、有反馈、有提升的实施管理闭环。</w:t>
      </w:r>
    </w:p>
    <w:p w14:paraId="338015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善智学科拓展类课程的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开发与实施</w:t>
      </w:r>
    </w:p>
    <w:p w14:paraId="7B6B624F">
      <w:pPr>
        <w:keepNext w:val="0"/>
        <w:keepLines w:val="0"/>
        <w:widowControl/>
        <w:suppressLineNumbers w:val="0"/>
        <w:shd w:val="clear" w:fill="FFFFFF"/>
        <w:ind w:firstLine="960" w:firstLineChars="300"/>
        <w:jc w:val="left"/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善智学科拓展类课程作为国家课程的延伸与补充，以 “夯实基础、拓展视野、培育素养” 为目标，聚焦学科核心能力的深化与跨学科思维的培养，具体实施路径如下：</w:t>
      </w:r>
    </w:p>
    <w:p w14:paraId="65C39B9F"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课程开发：立足学科本质，衔接学生需求</w:t>
      </w:r>
      <w:r>
        <w:rPr>
          <w:rStyle w:val="12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关联性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紧扣国家课程知识点，如语文在 “古诗学习” 基础上拓展 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经典诵读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和智慧语文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，数学在 “图形认识” 后延伸 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智慧数学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等。同时注重</w:t>
      </w:r>
      <w:r>
        <w:rPr>
          <w:rStyle w:val="12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层次性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：按年级梯度设计内容，低年级侧重 “趣味感知”（如 “绘本中的数学故事”），中年级侧重 “实践应用”（如 “校园植物观察与记录”），高年级侧重 “探究创新”。</w:t>
      </w:r>
    </w:p>
    <w:p w14:paraId="11BCA4D6"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spacing w:before="0" w:beforeAutospacing="0" w:after="0" w:afterAutospacing="0"/>
        <w:ind w:left="0"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Style w:val="12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2.资源整合：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教师团队编写《学科拓展课程手册》，每学期更新 20% 内容（基于学生反馈）；联动社区资源，如邀请科技馆辅导员参与 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趣味编程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” 课程，博物馆讲解员指导 “地方历史探究” 课程。</w:t>
      </w:r>
    </w:p>
    <w:p w14:paraId="185B83B1"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spacing w:before="0" w:beforeAutospacing="0" w:after="0" w:afterAutospacing="0"/>
        <w:ind w:left="0"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3.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教学实施：以 “探究 + 实践” 为核心，落实分层教学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课堂模式：</w:t>
      </w:r>
      <w:r>
        <w:rPr>
          <w:rStyle w:val="12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“1+X”</w:t>
      </w:r>
      <w:r>
        <w:rPr>
          <w:rStyle w:val="12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 基础拓展模式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：1 课时巩固国家课程核心知识，X 课时（1-2 课时）开展拓展活动。例：语文：学完 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古诗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” 后，拓展 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经典诵读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课程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；英语：在 “食物” 主题学习后，开展 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英乐之声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” 情景剧。</w:t>
      </w:r>
    </w:p>
    <w:p w14:paraId="793B12C0"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spacing w:before="0" w:beforeAutospacing="0" w:after="0" w:afterAutospacing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Style w:val="12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项目式学习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：每学期开展 1 个跨学科项目，如 “校园节水方案设计”（融合数学统计、科学原理、语文报告撰写）。</w:t>
      </w:r>
      <w:r>
        <w:rPr>
          <w:rStyle w:val="12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分层策略：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低年级以 “游戏化活动” 为主，如数学拓展课通过 “搭积木认识立体图形”“超市购物模拟计算” 提升兴趣；中年级以 “任务驱动” 为主，如科学课 “土壤 pH 值检测”，学生分组完成采样、实验、数据分析；高年级：以 “问题探究” 为主，如历史拓展课 “定远县地名演变研究”，通过走访、查资料形成研究报告。</w:t>
      </w:r>
    </w:p>
    <w:p w14:paraId="55BD2E9C">
      <w:pPr>
        <w:keepNext w:val="0"/>
        <w:keepLines w:val="0"/>
        <w:widowControl/>
        <w:suppressLineNumbers w:val="0"/>
        <w:shd w:val="clear" w:fill="FFFFFF"/>
        <w:ind w:left="0" w:firstLine="640" w:firstLineChars="200"/>
        <w:jc w:val="left"/>
        <w:rPr>
          <w:rFonts w:hint="eastAsia" w:ascii="仿宋" w:hAnsi="仿宋" w:eastAsia="仿宋" w:cs="仿宋"/>
          <w:i w:val="0"/>
          <w:iCs w:val="0"/>
          <w:caps w:val="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通过以上措施，善智学科拓展类课程既能深化学生对学科知识的理解，又能培养其探究精神与实践能力，最终实现 “向善 智慧” 的育人目标。</w:t>
      </w:r>
    </w:p>
    <w:p w14:paraId="75C36A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32"/>
          <w:szCs w:val="32"/>
          <w:shd w:val="clear" w:fill="FFFFFF"/>
          <w:lang w:val="en-US" w:eastAsia="zh-CN" w:bidi="ar"/>
        </w:rPr>
        <w:t>善智社团课程的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开发与实施</w:t>
      </w:r>
    </w:p>
    <w:p w14:paraId="7D4071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善智社团课程作为 “善智课程” 体系的重要组成部分，通过 “特色化定位、多元化实施、个性化成长” 的路径，助力学生在实践中达成 “向善、智慧” 的成长目标。结合学校实际，具体开发与实施框架如下。</w:t>
      </w:r>
    </w:p>
    <w:p w14:paraId="5E6D8A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1.社团课程开发：立足需求，聚焦特色。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开发依据：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学生需求导向：通过 “社团意向问卷”（覆盖 1-6 年级全体学生）和 “家长座谈会”，聚焦学生兴趣集中的领域 —— 艺术（剪纸、舞蹈、音乐）、体育（足球、篮球、乒乓球、羽毛球）、科技（科创、编程）、劳动（传统田园劳作）四大类，作为核心开发方向。</w:t>
      </w:r>
    </w:p>
    <w:p w14:paraId="56CD29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学校资源适配：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依托现有师资（如县级教坛新星中 28 人擅长艺术、体育领域）、场地（7 人制足球场、实验室、创客空间）及社区资源（非遗剪纸传承人、科技馆合作基地），确保课程 “开得了、能落地”。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“善智” 理念融合：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每类社团均融入 “善”（品德涵养）与 “智”（能力提升）的双重目标。例如：传统劳动社团不仅教授农耕技能，更强调 “珍惜劳动成果” 的品德；科创社团在培养创新能力的同时，渗透 “合作共享” 的团队意识。</w:t>
      </w:r>
    </w:p>
    <w:p w14:paraId="249F72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2.具体实施路径。各社团研究确定课程内容，结合善智课堂样态组织实施教学。例如：校级特色社团（以 “非遗剪纸社”“校园足球社” 为例）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非遗剪纸：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课程内容：中年级 “学习传统剪纸技法（阴刻、阳刻）”；高年级 “结合校园生活主题创作（如 “善智少年” 形象剪纸）”。实施亮点：聘请校内外非遗传承人每月驻校 1 次，开展 “大师课”；学生作品在校园文化墙、社区文化节展示，强化成就感。</w:t>
      </w:r>
      <w:r>
        <w:rPr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校园足球社：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课程内容：低年级 “球性练习（运球、停球）”；中年级 “战术配合（传切、防守）”；高年级 “实战比赛与裁判规则学习”。实施亮点：每周 1 次 “足球德育课”（结合赛事讲 “团队合作”“胜不骄败不馁”）；每学期参与 “县校园足球联赛”，以赛促练。</w:t>
      </w:r>
    </w:p>
    <w:p w14:paraId="03FD46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善智礼仪活动课程开发。</w:t>
      </w:r>
    </w:p>
    <w:p w14:paraId="7F6DBF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960" w:firstLineChars="300"/>
        <w:textAlignment w:val="auto"/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1.开设“善智节日”课程，浓厚课程实施氛围</w:t>
      </w:r>
    </w:p>
    <w:p w14:paraId="316911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校园是学生自由伸展的美好空间，更是文化扎根生长的舞台。学校根据学生成长的阶段性需求，设立艺术节、科技节、体育节、文明礼仪节等综合性校园节庆活动。通过节日课程,搭建多种形式的学习平台，满足学生成长的需求。各类节日活动主题鲜明，形式灵活，促进学生在参与中获得体验，在活动中提升综合素质，涵养品格。</w:t>
      </w:r>
    </w:p>
    <w:p w14:paraId="6D3DB2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2.融入仪式教育,规范仪式课程的实施</w:t>
      </w:r>
    </w:p>
    <w:p w14:paraId="423A22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仪式教育在德育中具有不可替代的教育效果。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学校仪式课程分为入学仪式、成长仪式、毕业典礼。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仪式课程在特定时间、环境、场景中综合展示，融和知、情、意、行为一体，多角度调动参与者情感与思维，产生共鸣，净化心灵，陶冶情操。在实施上整合各方之力，制定具体实施方案，激励学生参与、互动、展示，将价值理念与情绪感知交织、融和，以期对学生产生综合影响。</w:t>
      </w:r>
    </w:p>
    <w:p w14:paraId="35FD2CD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（五）完善课程评价</w:t>
      </w:r>
    </w:p>
    <w:p w14:paraId="1CEC2A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国家课程管理评价方式：定、教、评一体化管理。课程组长和副组长定规划、定制度，任课教师执行，教导处依据各学科评价与考核办法，定期督查和考核，形成教、学、评一体化管理。校长是校本课程管理第一责任人，负责领导制定学校课程规划及保证其有效实施的管理制度。各部门及其人员既要有明确职责和分工，又要加强联系和协调，形成高效的运行机制。</w:t>
      </w:r>
    </w:p>
    <w:p w14:paraId="7ABCCEE6"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坚持评价内容的多维化。</w:t>
      </w:r>
    </w:p>
    <w:p w14:paraId="15B6D96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一是对课程本身进行观察评价。每学期中段开展 “课程实施调研”，通过教师问卷和学生抽样访谈收集数据：了解、分析、评价课程目标、内容、方法的科学性和合理性，以及时调整。</w:t>
      </w:r>
    </w:p>
    <w:p w14:paraId="21DFDB3A"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spacing w:before="0" w:beforeAutospacing="0" w:after="0" w:afterAutospacing="0"/>
        <w:ind w:firstLine="640" w:firstLineChars="200"/>
        <w:jc w:val="left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二是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聚焦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学生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成长，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对学生进行综合评价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。</w:t>
      </w:r>
      <w:r>
        <w:rPr>
          <w:rStyle w:val="12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过程性评价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（占比 60%）：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通过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AI课堂观察量表的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“课堂参与度”（小组讨论、提问次数）、“任务完成质量”（如实验记录的完整性）、“合作表现”（角色承担、贡献度）评估；</w:t>
      </w:r>
      <w:r>
        <w:rPr>
          <w:rStyle w:val="12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成果性评价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（占比 40%）：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以期末学业成绩和作业、成果等进行评价。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低年级以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优秀作业和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“作品展示”（手抄报、模型）为主，中高年级以 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学业成绩和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“项目报告”“成果汇报”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各项比赛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 为主，例：英语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学科开展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 “我的家乡介绍” 演讲。</w:t>
      </w:r>
      <w:r>
        <w:rPr>
          <w:rStyle w:val="12"/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t>动态反馈机制：针对校本课程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每月发放 “课程反馈表”，学生、家长共同评分（维度：内容趣味性、难度适配性、能力提升感）；教师根据反馈调整内容，如学生反映 “编程入门太难”，增设 “图形化编程基础” 前置课时。</w:t>
      </w:r>
    </w:p>
    <w:p w14:paraId="778254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三是对课堂评价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，结合“智问”“智究”“智用”课堂模块，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倡导“五有”，即以“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有趣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、有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爱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、有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形、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效、有AI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”五个方面为特征，根据“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善智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课堂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”的内涵特点，学校围绕从“课堂生态”“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人文关爱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AI赋能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”“教学结构”“教学效益”五个维度制定“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善智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课堂”评价</w:t>
      </w:r>
      <w:r>
        <w:rPr>
          <w:rFonts w:hint="eastAsia" w:ascii="方正仿宋_GB2312" w:hAnsi="方正仿宋_GB2312" w:eastAsia="方正仿宋_GB2312" w:cs="方正仿宋_GB2312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细则。对教师的课堂教学进行评价、诊断、改进、提升。形成闭环。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具体见课堂评价量化表。</w:t>
      </w:r>
    </w:p>
    <w:p w14:paraId="0A099C9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3221687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" w:hAnsi="仿宋" w:eastAsia="仿宋" w:cs="仿宋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72A1BC2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default" w:ascii="仿宋" w:hAnsi="仿宋" w:eastAsia="仿宋" w:cs="仿宋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表8：定远县花园湖小学课堂质量评价表</w:t>
      </w:r>
    </w:p>
    <w:p w14:paraId="632B0A1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object>
          <v:shape id="_x0000_i1025" o:spt="75" type="#_x0000_t75" style="height:592.4pt;width:419.3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8">
            <o:LockedField>false</o:LockedField>
          </o:OLEObject>
        </w:objec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 w14:paraId="728C50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</w:p>
    <w:p w14:paraId="391E5B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2.坚持评价方式的多样化。把结果评价与过程评价、定性评价与定量评价结合起来。如采用成长记录袋的评价方式，搜集能反映学生在该课程实施过程中的资料。期末监测、考核和各项比赛进行结果性评价。</w:t>
      </w:r>
    </w:p>
    <w:p w14:paraId="2C44A903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default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3.针对校本课程，我们目前主要的评价方式：一是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定标定级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评选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善智少年，即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在“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善智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少年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”的评选中，我们学期初，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公布与校本课程目标有关的评选细则，各班级学生对照目标和细则努力提升自己，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到学期结束，由自己、同学、教师及家人共同参与评价，最终，全校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每一个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学生都有机会获得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善智少年称号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和奖励，这样的评价方式极大地激励着学生力争向上、做最好的自己。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二是通过期末综合艺术展演和各项比赛的形式对师生进行综合评定。</w:t>
      </w:r>
    </w:p>
    <w:p w14:paraId="38918E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四、保障措施</w:t>
      </w:r>
    </w:p>
    <w:p w14:paraId="0E884795">
      <w:pPr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学校课程管理是在一定社会条件下，有领导、有组织地协调人、物与课程的关系，指挥课程建设与课程实施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使之达到预定目标。我们从课程的</w:t>
      </w:r>
      <w:r>
        <w:rPr>
          <w:rFonts w:hint="eastAsia" w:ascii="仿宋" w:hAnsi="仿宋" w:eastAsia="仿宋"/>
          <w:sz w:val="32"/>
          <w:szCs w:val="32"/>
        </w:rPr>
        <w:t>师资保障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</w:rPr>
        <w:t>资源保障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组织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保障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、制度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保障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、和安全管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>保障</w:t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  <w:t>等方面为课程的开发和实施提供重要保障。</w:t>
      </w:r>
    </w:p>
    <w:p w14:paraId="071A083C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（一）师资保障</w:t>
      </w:r>
    </w:p>
    <w:p w14:paraId="0CBA9994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</w:t>
      </w:r>
      <w:r>
        <w:rPr>
          <w:rFonts w:ascii="Calibri" w:hAnsi="Calibri" w:eastAsia="仿宋" w:cs="Calibri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>加强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学校教研工作，以集体备课、主题教研、课堂教学展示等教研活动为依托，着力实施</w:t>
      </w:r>
      <w:r>
        <w:rPr>
          <w:rFonts w:hint="eastAsia" w:ascii="仿宋" w:hAnsi="仿宋" w:eastAsia="仿宋" w:cs="仿宋"/>
          <w:sz w:val="32"/>
          <w:szCs w:val="32"/>
        </w:rPr>
        <w:t>立德工程、强基工程、树牌工程、名师工程、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青蓝</w:t>
      </w:r>
      <w:r>
        <w:rPr>
          <w:rFonts w:hint="eastAsia" w:ascii="仿宋" w:hAnsi="仿宋" w:eastAsia="仿宋" w:cs="仿宋"/>
          <w:sz w:val="32"/>
          <w:szCs w:val="32"/>
        </w:rPr>
        <w:t>工程，读书工程六大工程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培养一支德高身正，智慧雅致的优秀教师队伍</w:t>
      </w:r>
      <w:r>
        <w:rPr>
          <w:rFonts w:hint="eastAsia" w:ascii="仿宋" w:hAnsi="仿宋" w:eastAsia="仿宋"/>
          <w:sz w:val="32"/>
          <w:szCs w:val="32"/>
        </w:rPr>
        <w:t>为课程实施提供有力的师资保障。</w:t>
      </w:r>
    </w:p>
    <w:p w14:paraId="6DA26F15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</w:t>
      </w:r>
      <w:r>
        <w:rPr>
          <w:rFonts w:ascii="Calibri" w:hAnsi="Calibri" w:eastAsia="仿宋" w:cs="Calibri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 xml:space="preserve">鼓励教师开展课程研究和教学创新，积极探索适合学生发展的教学方法和教学模式。选拔学科骨干教师组成 “拓展课程研发组”，每学期参加 2 次专题培训（如项目式教学方法）；建立 “跨校教研” 机制，与南京市新浦实验小学共享拓展课程资源。每周固定 2 个下午开放 “学科拓展教室”（配备实验器材、多媒体设备）；设立 “拓展课程基金”，支持购买材料、外出实践（每学期人均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10</w:t>
      </w:r>
      <w:r>
        <w:rPr>
          <w:rFonts w:hint="eastAsia" w:ascii="仿宋" w:hAnsi="仿宋" w:eastAsia="仿宋"/>
          <w:sz w:val="32"/>
          <w:szCs w:val="32"/>
        </w:rPr>
        <w:t>0 元标准）。</w:t>
      </w:r>
    </w:p>
    <w:p w14:paraId="51CBCCA8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</w:t>
      </w:r>
      <w:r>
        <w:rPr>
          <w:rFonts w:ascii="Calibri" w:hAnsi="Calibri" w:eastAsia="仿宋" w:cs="Calibri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>建立教师团队合作机制，共同开发和实施课程，提高课程实施的质量和效果。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全校教师深刻学习《义务教育学校管理标准》《关于全面深化新时代教师队伍建设改革的意见》等文件精神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落实“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五育并举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融合育人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”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的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目标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以“中国学生发展核心素养”为思考的方向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以建构主义理论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、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多元智能理论、深度学习理论等现代先进的教育思想指导自己的教育实践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确保课程实施中达成课程预定的目标。</w:t>
      </w:r>
    </w:p>
    <w:p w14:paraId="62B31069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（二）资源保障</w:t>
      </w:r>
    </w:p>
    <w:p w14:paraId="0A897725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</w:t>
      </w:r>
      <w:r>
        <w:rPr>
          <w:rFonts w:ascii="Calibri" w:hAnsi="Calibri" w:eastAsia="仿宋" w:cs="Calibri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>加大对课程资源的投入，建设图书馆、实验室、艺术教室、体育场馆等教学设施，为课程实施提供良好的条件。</w:t>
      </w:r>
    </w:p>
    <w:p w14:paraId="56AC889A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</w:t>
      </w:r>
      <w:r>
        <w:rPr>
          <w:rFonts w:ascii="Calibri" w:hAnsi="Calibri" w:eastAsia="仿宋" w:cs="Calibri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>开发和利用网络资源、社区资源、家长资源等，丰富课程资源，拓宽学生的学习渠道。</w:t>
      </w:r>
    </w:p>
    <w:p w14:paraId="3480D7F5"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</w:t>
      </w:r>
      <w:r>
        <w:rPr>
          <w:rFonts w:ascii="Calibri" w:hAnsi="Calibri" w:eastAsia="仿宋" w:cs="Calibri"/>
          <w:sz w:val="32"/>
          <w:szCs w:val="32"/>
        </w:rPr>
        <w:t> </w:t>
      </w:r>
      <w:r>
        <w:rPr>
          <w:rFonts w:hint="eastAsia" w:ascii="仿宋" w:hAnsi="仿宋" w:eastAsia="仿宋"/>
          <w:sz w:val="32"/>
          <w:szCs w:val="32"/>
        </w:rPr>
        <w:t>建立课程资源共享平台，促进教师之间的资源共享和交流合作。</w:t>
      </w:r>
    </w:p>
    <w:p w14:paraId="0E02F5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</w:rPr>
        <w:t>组织</w:t>
      </w:r>
      <w:r>
        <w:rPr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保障</w:t>
      </w:r>
    </w:p>
    <w:p w14:paraId="5A560A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1.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学校成立校长为组长的校本课程领导小组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核心成员是教务处成员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、教科室成员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和各学科教研组。主要负责学校课程的顶层设计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制订课程规划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统筹规划学校的校本课程，制定保证校本课程实施的相关制度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校本课程实施的过程管理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审议、评价。</w:t>
      </w:r>
    </w:p>
    <w:p w14:paraId="28EB18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2.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教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导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处主要负责对教师进行必要的培训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组织教师申报课程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提供课程菜单、课程介绍、课程表及教学常规与过程管理等工作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建立校本课程学生档案，负责学生学习评价的组织与统计。</w:t>
      </w:r>
    </w:p>
    <w:p w14:paraId="01E9E0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3.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教研组长主要负责组织落实本组教师的校本课程开发、申报与实施工作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召集组员定期研讨课程的开发与实施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确定课程的具体实施方案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总结校本课程的实施情况。</w:t>
      </w:r>
    </w:p>
    <w:p w14:paraId="309AC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4.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授课教师主要负责撰写《课程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计划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》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编写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教学内容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认真备好每一节课，按步实施、教务处随机听课、测评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有计划、有进度、有教案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按学校整体教学计划的要求，达至规定的课时与教学目标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保存学生的作品、资料及在活动、竞赛中取得的成绩资料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真写好教学反思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及时总结经验。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确保课程有条不紊推行下去。</w:t>
      </w:r>
    </w:p>
    <w:p w14:paraId="57A8E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（四）</w:t>
      </w:r>
      <w:r>
        <w:rPr>
          <w:rFonts w:hint="eastAsia" w:ascii="仿宋" w:hAnsi="仿宋" w:eastAsia="仿宋" w:cs="仿宋"/>
          <w:bCs/>
          <w:color w:val="auto"/>
          <w:sz w:val="32"/>
          <w:szCs w:val="32"/>
        </w:rPr>
        <w:t>制度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保障</w:t>
      </w:r>
    </w:p>
    <w:p w14:paraId="20344B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学校管理制度方面。理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清学校重要管理职能部门，强化职能意识，建立明晰的网络管理体系。学校负责构思并制订校本课程开发工作的实施方案，各部门等工作；学校制定校本课程管理的有关规章制度和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考评细则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，并组织实施和考核；学校组织教师进行校本课程的理论学习，规范教学行为，提高教育教学能力；教导处注意积累课改资料，及时提供教改信息，切实提高师生对学校各项规章制度的认识，做到内化于心。</w:t>
      </w:r>
    </w:p>
    <w:p w14:paraId="2894E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五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32"/>
          <w:szCs w:val="32"/>
        </w:rPr>
        <w:t>安全</w:t>
      </w:r>
      <w:r>
        <w:rPr>
          <w:rFonts w:hint="eastAsia" w:ascii="仿宋" w:hAnsi="仿宋" w:eastAsia="仿宋" w:cs="仿宋"/>
          <w:bCs/>
          <w:color w:val="auto"/>
          <w:sz w:val="32"/>
          <w:szCs w:val="32"/>
          <w:lang w:val="en-US" w:eastAsia="zh-CN"/>
        </w:rPr>
        <w:t>保障</w:t>
      </w:r>
    </w:p>
    <w:p w14:paraId="113404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安全教育是学校工作中的生命线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要求对学生进行经常性的教育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它直接关系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到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青少年学生能否安全、健康地成长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关系到千千万万个家庭的幸福安宁和社会稳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定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我校从交通安全、校园安全、校产校舍安全、教学设施安全等管理方面对学生进行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教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育，一是通过排查化解在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校园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内出现的安全隐患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加强学生的安全意识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二是对于一些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思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想偏激、性格偏执的学生进行必要的心理疏导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</w:rPr>
        <w:t>使校园环境的和谐因素尽可能增大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，把消极因素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val="en-US" w:eastAsia="zh-CN"/>
        </w:rPr>
        <w:t>消灭</w:t>
      </w:r>
      <w:r>
        <w:rPr>
          <w:rFonts w:hint="eastAsia" w:ascii="方正仿宋_GB2312" w:hAnsi="方正仿宋_GB2312" w:eastAsia="方正仿宋_GB2312" w:cs="方正仿宋_GB2312"/>
          <w:bCs/>
          <w:color w:val="auto"/>
          <w:sz w:val="32"/>
          <w:szCs w:val="32"/>
          <w:lang w:eastAsia="zh-CN"/>
        </w:rPr>
        <w:t>在萌芽状态。</w:t>
      </w:r>
    </w:p>
    <w:p w14:paraId="1FBC72A0">
      <w:pPr>
        <w:rPr>
          <w:sz w:val="32"/>
          <w:szCs w:val="32"/>
        </w:rPr>
      </w:pPr>
    </w:p>
    <w:p w14:paraId="6B8890A8">
      <w:pPr>
        <w:rPr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47A98F9-4043-4D52-861F-834585317C5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9384C982-5328-4846-8BE2-37575B1E130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07E1319A-FAAC-46C5-ADD3-31193EE17FC1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4" w:fontKey="{58834511-DF5E-46CA-9C76-3083A83A9BE6}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5" w:fontKey="{73125458-AF3F-4850-B58E-34490BAB3CF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6" w:fontKey="{359DAD37-A443-4C04-B24B-67C8F6AA83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E5611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794937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794937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A65BDE"/>
    <w:multiLevelType w:val="singleLevel"/>
    <w:tmpl w:val="C3A65BD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B9368BC"/>
    <w:multiLevelType w:val="singleLevel"/>
    <w:tmpl w:val="CB9368BC"/>
    <w:lvl w:ilvl="0" w:tentative="0">
      <w:start w:val="1"/>
      <w:numFmt w:val="chineseCounting"/>
      <w:suff w:val="nothing"/>
      <w:lvlText w:val="（%1）"/>
      <w:lvlJc w:val="left"/>
      <w:pPr>
        <w:ind w:left="-140"/>
      </w:pPr>
      <w:rPr>
        <w:rFonts w:hint="eastAsia"/>
      </w:rPr>
    </w:lvl>
  </w:abstractNum>
  <w:abstractNum w:abstractNumId="2">
    <w:nsid w:val="7D3B6326"/>
    <w:multiLevelType w:val="singleLevel"/>
    <w:tmpl w:val="7D3B632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640F25"/>
    <w:rsid w:val="04D45FB2"/>
    <w:rsid w:val="08B07468"/>
    <w:rsid w:val="0A0C0F71"/>
    <w:rsid w:val="120A0DB0"/>
    <w:rsid w:val="16B33A2D"/>
    <w:rsid w:val="1D386063"/>
    <w:rsid w:val="1D6B15D0"/>
    <w:rsid w:val="226C1D65"/>
    <w:rsid w:val="26264229"/>
    <w:rsid w:val="28017A64"/>
    <w:rsid w:val="28AB678C"/>
    <w:rsid w:val="2B6F35D4"/>
    <w:rsid w:val="2E5608A7"/>
    <w:rsid w:val="2FC96C8F"/>
    <w:rsid w:val="30AC3213"/>
    <w:rsid w:val="318433AA"/>
    <w:rsid w:val="31B01003"/>
    <w:rsid w:val="3B854EC2"/>
    <w:rsid w:val="3D007123"/>
    <w:rsid w:val="3E6C5DE1"/>
    <w:rsid w:val="427465C9"/>
    <w:rsid w:val="49F1674D"/>
    <w:rsid w:val="4DD46546"/>
    <w:rsid w:val="51640F25"/>
    <w:rsid w:val="527A43D8"/>
    <w:rsid w:val="5931586E"/>
    <w:rsid w:val="5A593C0C"/>
    <w:rsid w:val="5C3532F7"/>
    <w:rsid w:val="5C536292"/>
    <w:rsid w:val="5D3E5A9B"/>
    <w:rsid w:val="5EFB759D"/>
    <w:rsid w:val="613E7077"/>
    <w:rsid w:val="61E572DA"/>
    <w:rsid w:val="63A23524"/>
    <w:rsid w:val="63C245EE"/>
    <w:rsid w:val="71435BFC"/>
    <w:rsid w:val="71F83EDA"/>
    <w:rsid w:val="753A5C7A"/>
    <w:rsid w:val="78FA17C4"/>
    <w:rsid w:val="7E2F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paragraph" w:customStyle="1" w:styleId="13">
    <w:name w:val="Table Text"/>
    <w:basedOn w:val="1"/>
    <w:semiHidden/>
    <w:qFormat/>
    <w:uiPriority w:val="0"/>
    <w:rPr>
      <w:rFonts w:ascii="Times New Roman" w:hAnsi="Times New Roman" w:eastAsia="Times New Roman" w:cs="Times New Roman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1.bin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8543</Words>
  <Characters>8778</Characters>
  <Lines>0</Lines>
  <Paragraphs>0</Paragraphs>
  <TotalTime>4</TotalTime>
  <ScaleCrop>false</ScaleCrop>
  <LinksUpToDate>false</LinksUpToDate>
  <CharactersWithSpaces>8996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2025-04-24T02:18:00Z</dcterms:created>
  <dc:creator>十面埋伏</dc:creator>
  <cp:lastModifiedBy>十面埋伏</cp:lastModifiedBy>
  <cp:lastPrinted>2025-05-27T03:56:00Z</cp:lastPrinted>
  <dcterms:modified xsi:type="dcterms:W3CDTF">2025-08-28T10:20:32Z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2AE569BB8A7A45AE8FBCD25C89267216_13</vt:lpwstr>
  </property>
  <property fmtid="{D5CDD505-2E9C-101B-9397-08002B2CF9AE}" pid="4" name="KSOTemplateDocerSaveRecord">
    <vt:lpwstr>eyJoZGlkIjoiZmY3OGY1MDAzZjM5NDdlOTM4ZTFkNTA5YjUyNWRmZTUiLCJ1c2VySWQiOiIyMzk2ODk1MTMifQ==</vt:lpwstr>
  </property>
</Properties>
</file>